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212EE" w14:textId="77777777" w:rsidR="00CE5677" w:rsidRDefault="00000000">
      <w:pPr>
        <w:pStyle w:val="Heading1"/>
        <w:spacing w:before="70"/>
        <w:ind w:left="1"/>
      </w:pPr>
      <w:r>
        <w:rPr>
          <w:color w:val="231F20"/>
        </w:rPr>
        <w:t>Request</w:t>
      </w:r>
      <w:r>
        <w:rPr>
          <w:b w:val="0"/>
          <w:color w:val="231F20"/>
          <w:spacing w:val="-4"/>
        </w:rPr>
        <w:t xml:space="preserve"> </w:t>
      </w:r>
      <w:r>
        <w:rPr>
          <w:color w:val="231F20"/>
        </w:rPr>
        <w:t>for</w:t>
      </w:r>
      <w:r>
        <w:rPr>
          <w:b w:val="0"/>
          <w:color w:val="231F20"/>
          <w:spacing w:val="-3"/>
        </w:rPr>
        <w:t xml:space="preserve"> </w:t>
      </w:r>
      <w:r>
        <w:rPr>
          <w:color w:val="231F20"/>
        </w:rPr>
        <w:t>Proposals</w:t>
      </w:r>
      <w:r>
        <w:rPr>
          <w:b w:val="0"/>
          <w:color w:val="231F20"/>
          <w:spacing w:val="-4"/>
        </w:rPr>
        <w:t xml:space="preserve"> </w:t>
      </w:r>
      <w:r>
        <w:rPr>
          <w:color w:val="231F20"/>
        </w:rPr>
        <w:t>for</w:t>
      </w:r>
      <w:r>
        <w:rPr>
          <w:b w:val="0"/>
          <w:color w:val="231F20"/>
          <w:spacing w:val="-3"/>
        </w:rPr>
        <w:t xml:space="preserve"> </w:t>
      </w:r>
      <w:r>
        <w:rPr>
          <w:color w:val="231F20"/>
        </w:rPr>
        <w:t>Audit</w:t>
      </w:r>
      <w:r>
        <w:rPr>
          <w:b w:val="0"/>
          <w:color w:val="231F20"/>
        </w:rPr>
        <w:t xml:space="preserve"> </w:t>
      </w:r>
      <w:r>
        <w:rPr>
          <w:color w:val="231F20"/>
          <w:spacing w:val="-2"/>
        </w:rPr>
        <w:t>Services</w:t>
      </w:r>
    </w:p>
    <w:p w14:paraId="675D012F" w14:textId="77777777" w:rsidR="00CE5677" w:rsidRDefault="00000000">
      <w:pPr>
        <w:spacing w:before="2"/>
        <w:ind w:left="1" w:right="1"/>
        <w:jc w:val="center"/>
        <w:rPr>
          <w:b/>
        </w:rPr>
      </w:pPr>
      <w:r>
        <w:rPr>
          <w:b/>
          <w:color w:val="231F20"/>
        </w:rPr>
        <w:t>of</w:t>
      </w:r>
      <w:r>
        <w:rPr>
          <w:color w:val="231F20"/>
          <w:spacing w:val="-1"/>
        </w:rPr>
        <w:t xml:space="preserve"> </w:t>
      </w:r>
      <w:r>
        <w:rPr>
          <w:b/>
          <w:color w:val="231F20"/>
        </w:rPr>
        <w:t>the</w:t>
      </w:r>
      <w:r>
        <w:rPr>
          <w:color w:val="231F20"/>
          <w:spacing w:val="-3"/>
        </w:rPr>
        <w:t xml:space="preserve"> </w:t>
      </w:r>
      <w:r>
        <w:rPr>
          <w:b/>
          <w:color w:val="231F20"/>
        </w:rPr>
        <w:t>Housing</w:t>
      </w:r>
      <w:r>
        <w:rPr>
          <w:color w:val="231F20"/>
          <w:spacing w:val="-3"/>
        </w:rPr>
        <w:t xml:space="preserve"> </w:t>
      </w:r>
      <w:r>
        <w:rPr>
          <w:b/>
          <w:color w:val="231F20"/>
        </w:rPr>
        <w:t>Authority</w:t>
      </w:r>
      <w:r>
        <w:rPr>
          <w:color w:val="231F20"/>
          <w:spacing w:val="-4"/>
        </w:rPr>
        <w:t xml:space="preserve"> </w:t>
      </w:r>
      <w:r>
        <w:rPr>
          <w:b/>
          <w:color w:val="231F20"/>
        </w:rPr>
        <w:t>of</w:t>
      </w:r>
      <w:r>
        <w:rPr>
          <w:color w:val="231F20"/>
        </w:rPr>
        <w:t xml:space="preserve"> </w:t>
      </w:r>
      <w:r>
        <w:rPr>
          <w:b/>
          <w:color w:val="231F20"/>
        </w:rPr>
        <w:t>the</w:t>
      </w:r>
      <w:r>
        <w:rPr>
          <w:color w:val="231F20"/>
          <w:spacing w:val="-3"/>
        </w:rPr>
        <w:t xml:space="preserve"> </w:t>
      </w:r>
      <w:r>
        <w:rPr>
          <w:b/>
          <w:color w:val="231F20"/>
        </w:rPr>
        <w:t>City</w:t>
      </w:r>
      <w:r>
        <w:rPr>
          <w:color w:val="231F20"/>
          <w:spacing w:val="-3"/>
        </w:rPr>
        <w:t xml:space="preserve"> </w:t>
      </w:r>
      <w:r>
        <w:rPr>
          <w:b/>
          <w:color w:val="231F20"/>
        </w:rPr>
        <w:t>of</w:t>
      </w:r>
      <w:r>
        <w:rPr>
          <w:color w:val="231F20"/>
        </w:rPr>
        <w:t xml:space="preserve"> </w:t>
      </w:r>
      <w:r>
        <w:rPr>
          <w:b/>
          <w:color w:val="231F20"/>
          <w:spacing w:val="-2"/>
        </w:rPr>
        <w:t>Greenville</w:t>
      </w:r>
    </w:p>
    <w:p w14:paraId="76036846" w14:textId="77777777" w:rsidR="00CE5677" w:rsidRDefault="00CE5677">
      <w:pPr>
        <w:pStyle w:val="BodyText"/>
        <w:spacing w:before="156"/>
        <w:rPr>
          <w:b/>
        </w:rPr>
      </w:pPr>
    </w:p>
    <w:p w14:paraId="7BC43D76" w14:textId="5390FBC5" w:rsidR="00CE5677" w:rsidRDefault="00000000">
      <w:pPr>
        <w:pStyle w:val="BodyText"/>
        <w:ind w:left="119" w:right="113"/>
        <w:jc w:val="both"/>
      </w:pPr>
      <w:r>
        <w:rPr>
          <w:color w:val="231F20"/>
        </w:rPr>
        <w:t xml:space="preserve">The Housing Authority of the City of Greenville (GHA) is accepting proposals for its Annual A-133 Single Audit for the fiscal years ending September 30, </w:t>
      </w:r>
      <w:r w:rsidR="00842B3E">
        <w:rPr>
          <w:color w:val="231F20"/>
        </w:rPr>
        <w:t>2025,</w:t>
      </w:r>
      <w:r>
        <w:rPr>
          <w:color w:val="231F20"/>
        </w:rPr>
        <w:t xml:space="preserve"> and September 30, </w:t>
      </w:r>
      <w:r w:rsidR="00922AAD">
        <w:rPr>
          <w:color w:val="231F20"/>
        </w:rPr>
        <w:t>2026,</w:t>
      </w:r>
      <w:r>
        <w:rPr>
          <w:color w:val="231F20"/>
        </w:rPr>
        <w:t xml:space="preserve"> with a renewal option for fiscal year ending September </w:t>
      </w:r>
      <w:r w:rsidR="00922AAD">
        <w:rPr>
          <w:color w:val="231F20"/>
        </w:rPr>
        <w:t>30, 2027</w:t>
      </w:r>
      <w:r w:rsidR="007D591E">
        <w:rPr>
          <w:color w:val="231F20"/>
        </w:rPr>
        <w:t>,2028</w:t>
      </w:r>
      <w:r w:rsidR="00842B3E">
        <w:rPr>
          <w:color w:val="231F20"/>
        </w:rPr>
        <w:t xml:space="preserve"> </w:t>
      </w:r>
      <w:r w:rsidR="007D591E">
        <w:rPr>
          <w:color w:val="231F20"/>
        </w:rPr>
        <w:t>&amp; 2029</w:t>
      </w:r>
      <w:r>
        <w:rPr>
          <w:color w:val="231F20"/>
        </w:rPr>
        <w:t>. GHA was organized in May 1961. The primary goal of the GHA is to provide safe, decent and affordable housing in a suitable living environment for families that cannot afford standard private housing. The Authority’s programs are administered at the local level in accordance with state law. The U.S. Department of Housing and Urban Development (HUD) is authorized to enter into contracts with the Housing Authority for grants and loans to assist the Authority in financing the development and modernization of housing units and to pay operating subsidies and housing assistance</w:t>
      </w:r>
      <w:r>
        <w:rPr>
          <w:color w:val="231F20"/>
          <w:spacing w:val="-2"/>
        </w:rPr>
        <w:t xml:space="preserve"> </w:t>
      </w:r>
      <w:r>
        <w:rPr>
          <w:color w:val="231F20"/>
        </w:rPr>
        <w:t>payments</w:t>
      </w:r>
      <w:r>
        <w:rPr>
          <w:color w:val="231F20"/>
          <w:spacing w:val="-2"/>
        </w:rPr>
        <w:t xml:space="preserve"> </w:t>
      </w:r>
      <w:r>
        <w:rPr>
          <w:color w:val="231F20"/>
        </w:rPr>
        <w:t>to</w:t>
      </w:r>
      <w:r>
        <w:rPr>
          <w:color w:val="231F20"/>
          <w:spacing w:val="-2"/>
        </w:rPr>
        <w:t xml:space="preserve"> </w:t>
      </w:r>
      <w:r>
        <w:rPr>
          <w:color w:val="231F20"/>
        </w:rPr>
        <w:t>help</w:t>
      </w:r>
      <w:r>
        <w:rPr>
          <w:color w:val="231F20"/>
          <w:spacing w:val="-4"/>
        </w:rPr>
        <w:t xml:space="preserve"> </w:t>
      </w:r>
      <w:r>
        <w:rPr>
          <w:color w:val="231F20"/>
        </w:rPr>
        <w:t>pay</w:t>
      </w:r>
      <w:r>
        <w:rPr>
          <w:color w:val="231F20"/>
          <w:spacing w:val="-4"/>
        </w:rPr>
        <w:t xml:space="preserve"> </w:t>
      </w:r>
      <w:r>
        <w:rPr>
          <w:color w:val="231F20"/>
        </w:rPr>
        <w:t>for</w:t>
      </w:r>
      <w:r>
        <w:rPr>
          <w:color w:val="231F20"/>
          <w:spacing w:val="-1"/>
        </w:rPr>
        <w:t xml:space="preserve"> </w:t>
      </w:r>
      <w:r>
        <w:rPr>
          <w:color w:val="231F20"/>
        </w:rPr>
        <w:t>the</w:t>
      </w:r>
      <w:r>
        <w:rPr>
          <w:color w:val="231F20"/>
          <w:spacing w:val="-2"/>
        </w:rPr>
        <w:t xml:space="preserve"> </w:t>
      </w:r>
      <w:r>
        <w:rPr>
          <w:color w:val="231F20"/>
        </w:rPr>
        <w:t>operation</w:t>
      </w:r>
      <w:r>
        <w:rPr>
          <w:color w:val="231F20"/>
          <w:spacing w:val="-2"/>
        </w:rPr>
        <w:t xml:space="preserve"> </w:t>
      </w:r>
      <w:r>
        <w:rPr>
          <w:color w:val="231F20"/>
        </w:rPr>
        <w:t>of</w:t>
      </w:r>
      <w:r>
        <w:rPr>
          <w:color w:val="231F20"/>
          <w:spacing w:val="-4"/>
        </w:rPr>
        <w:t xml:space="preserve"> </w:t>
      </w:r>
      <w:r>
        <w:rPr>
          <w:color w:val="231F20"/>
        </w:rPr>
        <w:t>the</w:t>
      </w:r>
      <w:r>
        <w:rPr>
          <w:color w:val="231F20"/>
          <w:spacing w:val="-2"/>
        </w:rPr>
        <w:t xml:space="preserve"> </w:t>
      </w:r>
      <w:r>
        <w:rPr>
          <w:color w:val="231F20"/>
        </w:rPr>
        <w:t>Low-Rent</w:t>
      </w:r>
      <w:r>
        <w:rPr>
          <w:color w:val="231F20"/>
          <w:spacing w:val="-1"/>
        </w:rPr>
        <w:t xml:space="preserve"> </w:t>
      </w:r>
      <w:r>
        <w:rPr>
          <w:color w:val="231F20"/>
        </w:rPr>
        <w:t>Public</w:t>
      </w:r>
      <w:r>
        <w:rPr>
          <w:color w:val="231F20"/>
          <w:spacing w:val="-2"/>
        </w:rPr>
        <w:t xml:space="preserve"> </w:t>
      </w:r>
      <w:r>
        <w:rPr>
          <w:color w:val="231F20"/>
        </w:rPr>
        <w:t>and</w:t>
      </w:r>
      <w:r>
        <w:rPr>
          <w:color w:val="231F20"/>
          <w:spacing w:val="-2"/>
        </w:rPr>
        <w:t xml:space="preserve"> </w:t>
      </w:r>
      <w:r>
        <w:rPr>
          <w:color w:val="231F20"/>
        </w:rPr>
        <w:t>Section</w:t>
      </w:r>
      <w:r>
        <w:rPr>
          <w:color w:val="231F20"/>
          <w:spacing w:val="-2"/>
        </w:rPr>
        <w:t xml:space="preserve"> </w:t>
      </w:r>
      <w:r>
        <w:rPr>
          <w:color w:val="231F20"/>
        </w:rPr>
        <w:t>8</w:t>
      </w:r>
      <w:r>
        <w:rPr>
          <w:color w:val="231F20"/>
          <w:spacing w:val="-2"/>
        </w:rPr>
        <w:t xml:space="preserve"> </w:t>
      </w:r>
      <w:r>
        <w:rPr>
          <w:color w:val="231F20"/>
        </w:rPr>
        <w:t>Housing.</w:t>
      </w:r>
      <w:r>
        <w:rPr>
          <w:color w:val="231F20"/>
          <w:spacing w:val="-2"/>
        </w:rPr>
        <w:t xml:space="preserve"> </w:t>
      </w:r>
      <w:r>
        <w:rPr>
          <w:color w:val="231F20"/>
        </w:rPr>
        <w:t>The</w:t>
      </w:r>
      <w:r>
        <w:rPr>
          <w:color w:val="231F20"/>
          <w:spacing w:val="-2"/>
        </w:rPr>
        <w:t xml:space="preserve"> </w:t>
      </w:r>
      <w:r>
        <w:rPr>
          <w:color w:val="231F20"/>
        </w:rPr>
        <w:t>general</w:t>
      </w:r>
      <w:r>
        <w:rPr>
          <w:color w:val="231F20"/>
          <w:spacing w:val="-1"/>
        </w:rPr>
        <w:t xml:space="preserve"> </w:t>
      </w:r>
      <w:r>
        <w:rPr>
          <w:color w:val="231F20"/>
        </w:rPr>
        <w:t>supervision, direction, and program guidance are provided through the appropriate HUD regional office. All information regarding HUD officials responsible for the administration of the Housing Authority will be furnished to the auditor.</w:t>
      </w:r>
    </w:p>
    <w:p w14:paraId="3276D7C5" w14:textId="79BA1097" w:rsidR="00CE5677" w:rsidRDefault="00000000">
      <w:pPr>
        <w:pStyle w:val="BodyText"/>
        <w:spacing w:before="252"/>
        <w:ind w:left="119" w:right="115"/>
        <w:jc w:val="both"/>
      </w:pPr>
      <w:r>
        <w:rPr>
          <w:color w:val="231F20"/>
        </w:rPr>
        <w:t>A</w:t>
      </w:r>
      <w:r>
        <w:rPr>
          <w:color w:val="231F20"/>
          <w:spacing w:val="-2"/>
        </w:rPr>
        <w:t xml:space="preserve"> </w:t>
      </w:r>
      <w:r>
        <w:rPr>
          <w:color w:val="231F20"/>
        </w:rPr>
        <w:t>list of programs</w:t>
      </w:r>
      <w:r>
        <w:rPr>
          <w:color w:val="231F20"/>
          <w:spacing w:val="-1"/>
        </w:rPr>
        <w:t xml:space="preserve"> </w:t>
      </w:r>
      <w:r>
        <w:rPr>
          <w:color w:val="231F20"/>
        </w:rPr>
        <w:t>to</w:t>
      </w:r>
      <w:r>
        <w:rPr>
          <w:color w:val="231F20"/>
          <w:spacing w:val="-1"/>
        </w:rPr>
        <w:t xml:space="preserve"> </w:t>
      </w:r>
      <w:r>
        <w:rPr>
          <w:color w:val="231F20"/>
        </w:rPr>
        <w:t>be</w:t>
      </w:r>
      <w:r>
        <w:rPr>
          <w:color w:val="231F20"/>
          <w:spacing w:val="-1"/>
        </w:rPr>
        <w:t xml:space="preserve"> </w:t>
      </w:r>
      <w:r>
        <w:rPr>
          <w:color w:val="231F20"/>
        </w:rPr>
        <w:t>audited</w:t>
      </w:r>
      <w:r>
        <w:rPr>
          <w:color w:val="231F20"/>
          <w:spacing w:val="-1"/>
        </w:rPr>
        <w:t xml:space="preserve"> </w:t>
      </w:r>
      <w:r>
        <w:rPr>
          <w:color w:val="231F20"/>
        </w:rPr>
        <w:t>including</w:t>
      </w:r>
      <w:r>
        <w:rPr>
          <w:color w:val="231F20"/>
          <w:spacing w:val="-3"/>
        </w:rPr>
        <w:t xml:space="preserve"> </w:t>
      </w:r>
      <w:r>
        <w:rPr>
          <w:color w:val="231F20"/>
        </w:rPr>
        <w:t>the</w:t>
      </w:r>
      <w:r>
        <w:rPr>
          <w:color w:val="231F20"/>
          <w:spacing w:val="-1"/>
        </w:rPr>
        <w:t xml:space="preserve"> </w:t>
      </w:r>
      <w:r>
        <w:rPr>
          <w:color w:val="231F20"/>
        </w:rPr>
        <w:t>size</w:t>
      </w:r>
      <w:r>
        <w:rPr>
          <w:color w:val="231F20"/>
          <w:spacing w:val="-1"/>
        </w:rPr>
        <w:t xml:space="preserve"> </w:t>
      </w:r>
      <w:r>
        <w:rPr>
          <w:color w:val="231F20"/>
        </w:rPr>
        <w:t>of</w:t>
      </w:r>
      <w:r>
        <w:rPr>
          <w:color w:val="231F20"/>
          <w:spacing w:val="-3"/>
        </w:rPr>
        <w:t xml:space="preserve"> </w:t>
      </w:r>
      <w:r>
        <w:rPr>
          <w:color w:val="231F20"/>
        </w:rPr>
        <w:t>the</w:t>
      </w:r>
      <w:r>
        <w:rPr>
          <w:color w:val="231F20"/>
          <w:spacing w:val="-1"/>
        </w:rPr>
        <w:t xml:space="preserve"> </w:t>
      </w:r>
      <w:r>
        <w:rPr>
          <w:color w:val="231F20"/>
        </w:rPr>
        <w:t>program</w:t>
      </w:r>
      <w:r>
        <w:rPr>
          <w:b/>
          <w:color w:val="231F20"/>
        </w:rPr>
        <w:t>,</w:t>
      </w:r>
      <w:r>
        <w:rPr>
          <w:color w:val="231F20"/>
          <w:spacing w:val="-1"/>
        </w:rPr>
        <w:t xml:space="preserve"> </w:t>
      </w:r>
      <w:r>
        <w:rPr>
          <w:color w:val="231F20"/>
        </w:rPr>
        <w:t>period</w:t>
      </w:r>
      <w:r>
        <w:rPr>
          <w:color w:val="231F20"/>
          <w:spacing w:val="-1"/>
        </w:rPr>
        <w:t xml:space="preserve"> </w:t>
      </w:r>
      <w:r w:rsidR="00922AAD">
        <w:rPr>
          <w:color w:val="231F20"/>
        </w:rPr>
        <w:t>covered,</w:t>
      </w:r>
      <w:r>
        <w:rPr>
          <w:color w:val="231F20"/>
          <w:spacing w:val="-3"/>
        </w:rPr>
        <w:t xml:space="preserve"> </w:t>
      </w:r>
      <w:r>
        <w:rPr>
          <w:color w:val="231F20"/>
        </w:rPr>
        <w:t>and</w:t>
      </w:r>
      <w:r>
        <w:rPr>
          <w:color w:val="231F20"/>
          <w:spacing w:val="-1"/>
        </w:rPr>
        <w:t xml:space="preserve"> </w:t>
      </w:r>
      <w:r>
        <w:rPr>
          <w:color w:val="231F20"/>
        </w:rPr>
        <w:t>approximate</w:t>
      </w:r>
      <w:r>
        <w:rPr>
          <w:color w:val="231F20"/>
          <w:spacing w:val="-1"/>
        </w:rPr>
        <w:t xml:space="preserve"> </w:t>
      </w:r>
      <w:r>
        <w:rPr>
          <w:color w:val="231F20"/>
        </w:rPr>
        <w:t>program</w:t>
      </w:r>
      <w:r>
        <w:rPr>
          <w:color w:val="231F20"/>
          <w:spacing w:val="-5"/>
        </w:rPr>
        <w:t xml:space="preserve"> </w:t>
      </w:r>
      <w:r>
        <w:rPr>
          <w:color w:val="231F20"/>
        </w:rPr>
        <w:t>budget is</w:t>
      </w:r>
      <w:r>
        <w:rPr>
          <w:color w:val="231F20"/>
          <w:spacing w:val="-1"/>
        </w:rPr>
        <w:t xml:space="preserve"> </w:t>
      </w:r>
      <w:r>
        <w:rPr>
          <w:color w:val="231F20"/>
        </w:rPr>
        <w:t>also attached. The Authority uses the Tenmast System Software for all data processing including accounts payable, general ledger, payroll, applications, tenant accounting, work orders, and inventory.</w:t>
      </w:r>
    </w:p>
    <w:p w14:paraId="14407CCE" w14:textId="77777777" w:rsidR="00CE5677" w:rsidRDefault="00CE5677">
      <w:pPr>
        <w:pStyle w:val="BodyText"/>
        <w:spacing w:before="5"/>
      </w:pPr>
    </w:p>
    <w:p w14:paraId="0900B551" w14:textId="77777777" w:rsidR="00CE5677" w:rsidRDefault="00000000">
      <w:pPr>
        <w:pStyle w:val="Heading1"/>
        <w:jc w:val="left"/>
      </w:pPr>
      <w:r>
        <w:rPr>
          <w:color w:val="231F20"/>
          <w:spacing w:val="-2"/>
          <w:u w:val="thick" w:color="231F20"/>
        </w:rPr>
        <w:t>Services:</w:t>
      </w:r>
    </w:p>
    <w:p w14:paraId="7B38AD07" w14:textId="23374DE7" w:rsidR="00CE5677" w:rsidRDefault="00000000">
      <w:pPr>
        <w:pStyle w:val="BodyText"/>
        <w:spacing w:before="248"/>
        <w:ind w:left="119" w:right="115"/>
        <w:jc w:val="both"/>
      </w:pPr>
      <w:r>
        <w:rPr>
          <w:color w:val="231F20"/>
        </w:rPr>
        <w:t xml:space="preserve">The auditor will conduct an audit that covers the Authority’s financial statements, internal control systems, and compliance with laws, regulations, and contract provisions or grant agreements that may have a direct and material effect on each of its major programs. The audit shall be </w:t>
      </w:r>
      <w:r w:rsidR="00922AAD">
        <w:rPr>
          <w:color w:val="231F20"/>
        </w:rPr>
        <w:t>conducted</w:t>
      </w:r>
      <w:r>
        <w:rPr>
          <w:color w:val="231F20"/>
        </w:rPr>
        <w:t xml:space="preserve"> in accordance with the following standards and guidelines:</w:t>
      </w:r>
    </w:p>
    <w:p w14:paraId="4852E61F" w14:textId="77777777" w:rsidR="00CE5677" w:rsidRDefault="00000000">
      <w:pPr>
        <w:pStyle w:val="ListParagraph"/>
        <w:numPr>
          <w:ilvl w:val="0"/>
          <w:numId w:val="3"/>
        </w:numPr>
        <w:tabs>
          <w:tab w:val="left" w:pos="1199"/>
        </w:tabs>
        <w:spacing w:before="252"/>
        <w:ind w:right="118"/>
        <w:jc w:val="both"/>
      </w:pPr>
      <w:r>
        <w:rPr>
          <w:color w:val="231F20"/>
        </w:rPr>
        <w:t>Generally Accepted Auditing Standards (GAAS) as promulgated by the American Institute for Certified Public Accountants (AICPA)</w:t>
      </w:r>
    </w:p>
    <w:p w14:paraId="2F53016A" w14:textId="77777777" w:rsidR="00CE5677" w:rsidRDefault="00000000">
      <w:pPr>
        <w:pStyle w:val="ListParagraph"/>
        <w:numPr>
          <w:ilvl w:val="0"/>
          <w:numId w:val="3"/>
        </w:numPr>
        <w:tabs>
          <w:tab w:val="left" w:pos="1197"/>
          <w:tab w:val="left" w:pos="1199"/>
        </w:tabs>
        <w:ind w:right="115" w:hanging="361"/>
        <w:jc w:val="both"/>
      </w:pPr>
      <w:r>
        <w:rPr>
          <w:color w:val="231F20"/>
        </w:rPr>
        <w:t>Generally Accepted Government Auditing Standards (GAGAS) as published by the Government Accounting Office (GAO)</w:t>
      </w:r>
    </w:p>
    <w:p w14:paraId="1E6A044B" w14:textId="66B65E94" w:rsidR="00CE5677" w:rsidRDefault="00231172">
      <w:pPr>
        <w:pStyle w:val="ListParagraph"/>
        <w:numPr>
          <w:ilvl w:val="0"/>
          <w:numId w:val="3"/>
        </w:numPr>
        <w:tabs>
          <w:tab w:val="left" w:pos="1197"/>
          <w:tab w:val="left" w:pos="1199"/>
        </w:tabs>
        <w:spacing w:before="1"/>
        <w:ind w:right="116" w:hanging="361"/>
        <w:jc w:val="both"/>
      </w:pPr>
      <w:bookmarkStart w:id="0" w:name="_Hlk206497777"/>
      <w:r>
        <w:t xml:space="preserve">Title 2 U.S. code of Federal Regulations Part 200, Uniform </w:t>
      </w:r>
      <w:r w:rsidR="00C4436B">
        <w:t>Administrative Requirements, Cost Principles, and Audit Requirements for Federal Awards(Uniform Guidance) with provisions of the Single Audit Act.</w:t>
      </w:r>
    </w:p>
    <w:bookmarkEnd w:id="0"/>
    <w:p w14:paraId="64338158" w14:textId="77777777" w:rsidR="00CE5677" w:rsidRDefault="00000000">
      <w:pPr>
        <w:pStyle w:val="ListParagraph"/>
        <w:numPr>
          <w:ilvl w:val="0"/>
          <w:numId w:val="3"/>
        </w:numPr>
        <w:tabs>
          <w:tab w:val="left" w:pos="1198"/>
        </w:tabs>
        <w:spacing w:line="252" w:lineRule="exact"/>
        <w:ind w:left="1198" w:hanging="359"/>
        <w:jc w:val="both"/>
      </w:pPr>
      <w:r>
        <w:rPr>
          <w:color w:val="231F20"/>
        </w:rPr>
        <w:t>The</w:t>
      </w:r>
      <w:r>
        <w:rPr>
          <w:color w:val="231F20"/>
          <w:spacing w:val="-7"/>
        </w:rPr>
        <w:t xml:space="preserve"> </w:t>
      </w:r>
      <w:r>
        <w:rPr>
          <w:color w:val="231F20"/>
        </w:rPr>
        <w:t>Federal</w:t>
      </w:r>
      <w:r>
        <w:rPr>
          <w:color w:val="231F20"/>
          <w:spacing w:val="-2"/>
        </w:rPr>
        <w:t xml:space="preserve"> </w:t>
      </w:r>
      <w:r>
        <w:rPr>
          <w:color w:val="231F20"/>
        </w:rPr>
        <w:t>Compliance</w:t>
      </w:r>
      <w:r>
        <w:rPr>
          <w:color w:val="231F20"/>
          <w:spacing w:val="-2"/>
        </w:rPr>
        <w:t xml:space="preserve"> </w:t>
      </w:r>
      <w:r>
        <w:rPr>
          <w:color w:val="231F20"/>
        </w:rPr>
        <w:t>Supplement</w:t>
      </w:r>
      <w:r>
        <w:rPr>
          <w:color w:val="231F20"/>
          <w:spacing w:val="-5"/>
        </w:rPr>
        <w:t xml:space="preserve"> </w:t>
      </w:r>
      <w:r>
        <w:rPr>
          <w:color w:val="231F20"/>
        </w:rPr>
        <w:t>for</w:t>
      </w:r>
      <w:r>
        <w:rPr>
          <w:color w:val="231F20"/>
          <w:spacing w:val="-1"/>
        </w:rPr>
        <w:t xml:space="preserve"> </w:t>
      </w:r>
      <w:r>
        <w:rPr>
          <w:color w:val="231F20"/>
        </w:rPr>
        <w:t>Single</w:t>
      </w:r>
      <w:r>
        <w:rPr>
          <w:color w:val="231F20"/>
          <w:spacing w:val="-3"/>
        </w:rPr>
        <w:t xml:space="preserve"> </w:t>
      </w:r>
      <w:r>
        <w:rPr>
          <w:color w:val="231F20"/>
        </w:rPr>
        <w:t>Audits</w:t>
      </w:r>
      <w:r>
        <w:rPr>
          <w:color w:val="231F20"/>
          <w:spacing w:val="-2"/>
        </w:rPr>
        <w:t xml:space="preserve"> </w:t>
      </w:r>
      <w:r>
        <w:rPr>
          <w:color w:val="231F20"/>
        </w:rPr>
        <w:t>for</w:t>
      </w:r>
      <w:r>
        <w:rPr>
          <w:color w:val="231F20"/>
          <w:spacing w:val="-2"/>
        </w:rPr>
        <w:t xml:space="preserve"> </w:t>
      </w:r>
      <w:r>
        <w:rPr>
          <w:color w:val="231F20"/>
        </w:rPr>
        <w:t>State</w:t>
      </w:r>
      <w:r>
        <w:rPr>
          <w:color w:val="231F20"/>
          <w:spacing w:val="-4"/>
        </w:rPr>
        <w:t xml:space="preserve"> </w:t>
      </w:r>
      <w:r>
        <w:rPr>
          <w:color w:val="231F20"/>
        </w:rPr>
        <w:t>and</w:t>
      </w:r>
      <w:r>
        <w:rPr>
          <w:color w:val="231F20"/>
          <w:spacing w:val="-3"/>
        </w:rPr>
        <w:t xml:space="preserve"> </w:t>
      </w:r>
      <w:r>
        <w:rPr>
          <w:color w:val="231F20"/>
        </w:rPr>
        <w:t>Local</w:t>
      </w:r>
      <w:r>
        <w:rPr>
          <w:color w:val="231F20"/>
          <w:spacing w:val="-1"/>
        </w:rPr>
        <w:t xml:space="preserve"> </w:t>
      </w:r>
      <w:r>
        <w:rPr>
          <w:color w:val="231F20"/>
          <w:spacing w:val="-2"/>
        </w:rPr>
        <w:t>Governments</w:t>
      </w:r>
    </w:p>
    <w:p w14:paraId="26F5ED7A" w14:textId="77777777" w:rsidR="00CE5677" w:rsidRDefault="00000000">
      <w:pPr>
        <w:pStyle w:val="ListParagraph"/>
        <w:numPr>
          <w:ilvl w:val="0"/>
          <w:numId w:val="3"/>
        </w:numPr>
        <w:tabs>
          <w:tab w:val="left" w:pos="1199"/>
        </w:tabs>
        <w:spacing w:before="1"/>
        <w:ind w:right="114"/>
        <w:jc w:val="both"/>
      </w:pPr>
      <w:r>
        <w:rPr>
          <w:color w:val="231F20"/>
        </w:rPr>
        <w:t>Auditing and reporting provisions of the applicable HUD Audit Guide for Lower Income Housing Program for use by Independent Public Accountants</w:t>
      </w:r>
    </w:p>
    <w:p w14:paraId="43A4395C" w14:textId="77777777" w:rsidR="00CE5677" w:rsidRDefault="00000000">
      <w:pPr>
        <w:pStyle w:val="ListParagraph"/>
        <w:numPr>
          <w:ilvl w:val="0"/>
          <w:numId w:val="3"/>
        </w:numPr>
        <w:tabs>
          <w:tab w:val="left" w:pos="1199"/>
        </w:tabs>
        <w:ind w:right="118"/>
        <w:jc w:val="both"/>
      </w:pPr>
      <w:r>
        <w:rPr>
          <w:color w:val="231F20"/>
        </w:rPr>
        <w:t>Any applicable requirements promulgated and adopted by the Federal Government and/or State of North Carolina including individual grantor agency rules and regulations</w:t>
      </w:r>
    </w:p>
    <w:p w14:paraId="0E3968AC" w14:textId="77777777" w:rsidR="00CE5677" w:rsidRDefault="00CE5677">
      <w:pPr>
        <w:pStyle w:val="BodyText"/>
        <w:spacing w:before="21"/>
      </w:pPr>
    </w:p>
    <w:p w14:paraId="4B7157B0" w14:textId="585A4D30" w:rsidR="00CE5677" w:rsidRDefault="00000000">
      <w:pPr>
        <w:pStyle w:val="BodyText"/>
        <w:spacing w:before="1"/>
        <w:ind w:left="119" w:right="115"/>
        <w:jc w:val="both"/>
      </w:pPr>
      <w:r>
        <w:rPr>
          <w:color w:val="231F20"/>
        </w:rPr>
        <w:t>The Single Audit reporting package should have sufficient copies to be submitted to the</w:t>
      </w:r>
      <w:r>
        <w:rPr>
          <w:color w:val="231F20"/>
          <w:spacing w:val="-2"/>
        </w:rPr>
        <w:t xml:space="preserve"> </w:t>
      </w:r>
      <w:r>
        <w:rPr>
          <w:color w:val="231F20"/>
        </w:rPr>
        <w:t>GHA’s</w:t>
      </w:r>
      <w:r>
        <w:rPr>
          <w:color w:val="231F20"/>
          <w:spacing w:val="-2"/>
        </w:rPr>
        <w:t xml:space="preserve"> </w:t>
      </w:r>
      <w:r>
        <w:rPr>
          <w:color w:val="231F20"/>
        </w:rPr>
        <w:t>Board</w:t>
      </w:r>
      <w:r>
        <w:rPr>
          <w:color w:val="231F20"/>
          <w:spacing w:val="-2"/>
        </w:rPr>
        <w:t xml:space="preserve"> </w:t>
      </w:r>
      <w:r>
        <w:rPr>
          <w:color w:val="231F20"/>
        </w:rPr>
        <w:t>of</w:t>
      </w:r>
      <w:r>
        <w:rPr>
          <w:color w:val="231F20"/>
          <w:spacing w:val="-1"/>
        </w:rPr>
        <w:t xml:space="preserve"> </w:t>
      </w:r>
      <w:r>
        <w:rPr>
          <w:color w:val="231F20"/>
        </w:rPr>
        <w:t>Commissioners,</w:t>
      </w:r>
      <w:r>
        <w:rPr>
          <w:color w:val="231F20"/>
          <w:spacing w:val="-2"/>
        </w:rPr>
        <w:t xml:space="preserve"> </w:t>
      </w:r>
      <w:r>
        <w:rPr>
          <w:color w:val="231F20"/>
        </w:rPr>
        <w:t>GHA’s</w:t>
      </w:r>
      <w:r>
        <w:rPr>
          <w:color w:val="231F20"/>
          <w:spacing w:val="-2"/>
        </w:rPr>
        <w:t xml:space="preserve"> </w:t>
      </w:r>
      <w:r>
        <w:rPr>
          <w:color w:val="231F20"/>
        </w:rPr>
        <w:t>Executive</w:t>
      </w:r>
      <w:r>
        <w:rPr>
          <w:color w:val="231F20"/>
          <w:spacing w:val="-2"/>
        </w:rPr>
        <w:t xml:space="preserve"> </w:t>
      </w:r>
      <w:r>
        <w:rPr>
          <w:color w:val="231F20"/>
        </w:rPr>
        <w:t>Director.</w:t>
      </w:r>
      <w:r>
        <w:rPr>
          <w:color w:val="231F20"/>
          <w:spacing w:val="-2"/>
        </w:rPr>
        <w:t xml:space="preserve"> </w:t>
      </w:r>
      <w:r>
        <w:rPr>
          <w:color w:val="231F20"/>
        </w:rPr>
        <w:t>The</w:t>
      </w:r>
      <w:r>
        <w:rPr>
          <w:color w:val="231F20"/>
          <w:spacing w:val="-2"/>
        </w:rPr>
        <w:t xml:space="preserve"> </w:t>
      </w:r>
      <w:r>
        <w:rPr>
          <w:color w:val="231F20"/>
        </w:rPr>
        <w:t>report</w:t>
      </w:r>
      <w:r>
        <w:rPr>
          <w:color w:val="231F20"/>
          <w:spacing w:val="-4"/>
        </w:rPr>
        <w:t xml:space="preserve"> </w:t>
      </w:r>
      <w:r>
        <w:rPr>
          <w:color w:val="231F20"/>
        </w:rPr>
        <w:t>will</w:t>
      </w:r>
      <w:r>
        <w:rPr>
          <w:color w:val="231F20"/>
          <w:spacing w:val="-1"/>
        </w:rPr>
        <w:t xml:space="preserve"> </w:t>
      </w:r>
      <w:r>
        <w:rPr>
          <w:color w:val="231F20"/>
        </w:rPr>
        <w:t>consist</w:t>
      </w:r>
      <w:r>
        <w:rPr>
          <w:color w:val="231F20"/>
          <w:spacing w:val="-1"/>
        </w:rPr>
        <w:t xml:space="preserve"> </w:t>
      </w:r>
      <w:r>
        <w:rPr>
          <w:color w:val="231F20"/>
        </w:rPr>
        <w:t>of the</w:t>
      </w:r>
      <w:r>
        <w:rPr>
          <w:color w:val="231F20"/>
          <w:spacing w:val="-2"/>
        </w:rPr>
        <w:t xml:space="preserve"> </w:t>
      </w:r>
      <w:r>
        <w:rPr>
          <w:color w:val="231F20"/>
        </w:rPr>
        <w:t>following</w:t>
      </w:r>
      <w:r>
        <w:rPr>
          <w:color w:val="231F20"/>
          <w:spacing w:val="-2"/>
        </w:rPr>
        <w:t xml:space="preserve"> </w:t>
      </w:r>
      <w:r>
        <w:rPr>
          <w:color w:val="231F20"/>
        </w:rPr>
        <w:t>items and any</w:t>
      </w:r>
      <w:r>
        <w:rPr>
          <w:color w:val="231F20"/>
          <w:spacing w:val="-2"/>
        </w:rPr>
        <w:t xml:space="preserve"> </w:t>
      </w:r>
      <w:r>
        <w:rPr>
          <w:color w:val="231F20"/>
        </w:rPr>
        <w:t>other</w:t>
      </w:r>
      <w:r>
        <w:rPr>
          <w:color w:val="231F20"/>
          <w:spacing w:val="-1"/>
        </w:rPr>
        <w:t xml:space="preserve"> </w:t>
      </w:r>
      <w:r>
        <w:rPr>
          <w:color w:val="231F20"/>
        </w:rPr>
        <w:t>pertinent</w:t>
      </w:r>
      <w:r>
        <w:rPr>
          <w:color w:val="231F20"/>
          <w:spacing w:val="-1"/>
        </w:rPr>
        <w:t xml:space="preserve"> </w:t>
      </w:r>
      <w:r>
        <w:rPr>
          <w:color w:val="231F20"/>
        </w:rPr>
        <w:t>information required</w:t>
      </w:r>
      <w:r>
        <w:rPr>
          <w:color w:val="231F20"/>
          <w:spacing w:val="-2"/>
        </w:rPr>
        <w:t xml:space="preserve"> </w:t>
      </w:r>
      <w:r>
        <w:rPr>
          <w:color w:val="231F20"/>
        </w:rPr>
        <w:t>as</w:t>
      </w:r>
      <w:r>
        <w:rPr>
          <w:color w:val="231F20"/>
          <w:spacing w:val="-2"/>
        </w:rPr>
        <w:t xml:space="preserve"> </w:t>
      </w:r>
      <w:r>
        <w:rPr>
          <w:color w:val="231F20"/>
        </w:rPr>
        <w:t>part of</w:t>
      </w:r>
      <w:r>
        <w:rPr>
          <w:color w:val="231F20"/>
          <w:spacing w:val="-1"/>
        </w:rPr>
        <w:t xml:space="preserve"> </w:t>
      </w:r>
      <w:r>
        <w:rPr>
          <w:color w:val="231F20"/>
        </w:rPr>
        <w:t>the</w:t>
      </w:r>
      <w:r>
        <w:rPr>
          <w:color w:val="231F20"/>
          <w:spacing w:val="-2"/>
        </w:rPr>
        <w:t xml:space="preserve"> </w:t>
      </w:r>
      <w:r>
        <w:rPr>
          <w:color w:val="231F20"/>
        </w:rPr>
        <w:t>HUD</w:t>
      </w:r>
      <w:r>
        <w:rPr>
          <w:color w:val="231F20"/>
          <w:spacing w:val="-1"/>
        </w:rPr>
        <w:t xml:space="preserve"> </w:t>
      </w:r>
      <w:r>
        <w:rPr>
          <w:color w:val="231F20"/>
        </w:rPr>
        <w:t>REAC GAAP flyer #6</w:t>
      </w:r>
      <w:r>
        <w:rPr>
          <w:color w:val="231F20"/>
          <w:spacing w:val="-4"/>
        </w:rPr>
        <w:t xml:space="preserve"> </w:t>
      </w:r>
      <w:r>
        <w:rPr>
          <w:color w:val="231F20"/>
        </w:rPr>
        <w:t>and</w:t>
      </w:r>
      <w:r>
        <w:rPr>
          <w:color w:val="231F20"/>
          <w:spacing w:val="-2"/>
        </w:rPr>
        <w:t xml:space="preserve"> </w:t>
      </w:r>
      <w:r>
        <w:rPr>
          <w:color w:val="231F20"/>
        </w:rPr>
        <w:t>the Single Audit Act A-133, or as required by HUD:</w:t>
      </w:r>
    </w:p>
    <w:p w14:paraId="563DE689" w14:textId="77777777" w:rsidR="00CE5677" w:rsidRDefault="00000000">
      <w:pPr>
        <w:pStyle w:val="ListParagraph"/>
        <w:numPr>
          <w:ilvl w:val="1"/>
          <w:numId w:val="3"/>
        </w:numPr>
        <w:tabs>
          <w:tab w:val="left" w:pos="1918"/>
        </w:tabs>
        <w:spacing w:before="252"/>
        <w:ind w:left="1918" w:hanging="359"/>
      </w:pPr>
      <w:r>
        <w:rPr>
          <w:color w:val="231F20"/>
        </w:rPr>
        <w:t>Financial</w:t>
      </w:r>
      <w:r>
        <w:rPr>
          <w:color w:val="231F20"/>
          <w:spacing w:val="-4"/>
        </w:rPr>
        <w:t xml:space="preserve"> </w:t>
      </w:r>
      <w:r>
        <w:rPr>
          <w:color w:val="231F20"/>
        </w:rPr>
        <w:t>Statements</w:t>
      </w:r>
      <w:r>
        <w:rPr>
          <w:color w:val="231F20"/>
          <w:spacing w:val="-4"/>
        </w:rPr>
        <w:t xml:space="preserve"> </w:t>
      </w:r>
      <w:r>
        <w:rPr>
          <w:color w:val="231F20"/>
        </w:rPr>
        <w:t>(including</w:t>
      </w:r>
      <w:r>
        <w:rPr>
          <w:color w:val="231F20"/>
          <w:spacing w:val="-6"/>
        </w:rPr>
        <w:t xml:space="preserve"> </w:t>
      </w:r>
      <w:r>
        <w:rPr>
          <w:color w:val="231F20"/>
        </w:rPr>
        <w:t>all</w:t>
      </w:r>
      <w:r>
        <w:rPr>
          <w:color w:val="231F20"/>
          <w:spacing w:val="-5"/>
        </w:rPr>
        <w:t xml:space="preserve"> </w:t>
      </w:r>
      <w:r>
        <w:rPr>
          <w:color w:val="231F20"/>
        </w:rPr>
        <w:t>applicable</w:t>
      </w:r>
      <w:r>
        <w:rPr>
          <w:color w:val="231F20"/>
          <w:spacing w:val="-4"/>
        </w:rPr>
        <w:t xml:space="preserve"> </w:t>
      </w:r>
      <w:r>
        <w:rPr>
          <w:color w:val="231F20"/>
          <w:spacing w:val="-2"/>
        </w:rPr>
        <w:t>footnotes)</w:t>
      </w:r>
    </w:p>
    <w:p w14:paraId="1FC1E951" w14:textId="77777777" w:rsidR="00CE5677" w:rsidRDefault="00000000">
      <w:pPr>
        <w:pStyle w:val="ListParagraph"/>
        <w:numPr>
          <w:ilvl w:val="1"/>
          <w:numId w:val="3"/>
        </w:numPr>
        <w:tabs>
          <w:tab w:val="left" w:pos="1918"/>
        </w:tabs>
        <w:spacing w:before="2" w:line="252" w:lineRule="exact"/>
        <w:ind w:left="1918" w:hanging="359"/>
      </w:pPr>
      <w:r>
        <w:rPr>
          <w:color w:val="231F20"/>
        </w:rPr>
        <w:t>Footnotes</w:t>
      </w:r>
      <w:r>
        <w:rPr>
          <w:color w:val="231F20"/>
          <w:spacing w:val="-7"/>
        </w:rPr>
        <w:t xml:space="preserve"> </w:t>
      </w:r>
      <w:r>
        <w:rPr>
          <w:color w:val="231F20"/>
        </w:rPr>
        <w:t>on</w:t>
      </w:r>
      <w:r>
        <w:rPr>
          <w:color w:val="231F20"/>
          <w:spacing w:val="-3"/>
        </w:rPr>
        <w:t xml:space="preserve"> </w:t>
      </w:r>
      <w:r>
        <w:rPr>
          <w:color w:val="231F20"/>
        </w:rPr>
        <w:t>the</w:t>
      </w:r>
      <w:r>
        <w:rPr>
          <w:color w:val="231F20"/>
          <w:spacing w:val="-3"/>
        </w:rPr>
        <w:t xml:space="preserve"> </w:t>
      </w:r>
      <w:r>
        <w:rPr>
          <w:color w:val="231F20"/>
        </w:rPr>
        <w:t>Summary</w:t>
      </w:r>
      <w:r>
        <w:rPr>
          <w:color w:val="231F20"/>
          <w:spacing w:val="-5"/>
        </w:rPr>
        <w:t xml:space="preserve"> </w:t>
      </w:r>
      <w:r>
        <w:rPr>
          <w:color w:val="231F20"/>
        </w:rPr>
        <w:t>of</w:t>
      </w:r>
      <w:r>
        <w:rPr>
          <w:color w:val="231F20"/>
          <w:spacing w:val="-2"/>
        </w:rPr>
        <w:t xml:space="preserve"> </w:t>
      </w:r>
      <w:r>
        <w:rPr>
          <w:color w:val="231F20"/>
        </w:rPr>
        <w:t>Significant</w:t>
      </w:r>
      <w:r>
        <w:rPr>
          <w:color w:val="231F20"/>
          <w:spacing w:val="-4"/>
        </w:rPr>
        <w:t xml:space="preserve"> </w:t>
      </w:r>
      <w:r>
        <w:rPr>
          <w:color w:val="231F20"/>
        </w:rPr>
        <w:t>Accounting</w:t>
      </w:r>
      <w:r>
        <w:rPr>
          <w:color w:val="231F20"/>
          <w:spacing w:val="-5"/>
        </w:rPr>
        <w:t xml:space="preserve"> </w:t>
      </w:r>
      <w:r>
        <w:rPr>
          <w:color w:val="231F20"/>
        </w:rPr>
        <w:t>Policies</w:t>
      </w:r>
      <w:r>
        <w:rPr>
          <w:color w:val="231F20"/>
          <w:spacing w:val="-3"/>
        </w:rPr>
        <w:t xml:space="preserve"> </w:t>
      </w:r>
      <w:r>
        <w:rPr>
          <w:color w:val="231F20"/>
        </w:rPr>
        <w:t>and</w:t>
      </w:r>
      <w:r>
        <w:rPr>
          <w:color w:val="231F20"/>
          <w:spacing w:val="-5"/>
        </w:rPr>
        <w:t xml:space="preserve"> </w:t>
      </w:r>
      <w:r>
        <w:rPr>
          <w:color w:val="231F20"/>
        </w:rPr>
        <w:t>Federal</w:t>
      </w:r>
      <w:r>
        <w:rPr>
          <w:color w:val="231F20"/>
          <w:spacing w:val="-2"/>
        </w:rPr>
        <w:t xml:space="preserve"> </w:t>
      </w:r>
      <w:r>
        <w:rPr>
          <w:color w:val="231F20"/>
        </w:rPr>
        <w:t>Non-Cash</w:t>
      </w:r>
      <w:r>
        <w:rPr>
          <w:color w:val="231F20"/>
          <w:spacing w:val="-2"/>
        </w:rPr>
        <w:t xml:space="preserve"> Assistance</w:t>
      </w:r>
    </w:p>
    <w:p w14:paraId="6D209034" w14:textId="77777777" w:rsidR="00CE5677" w:rsidRDefault="00000000">
      <w:pPr>
        <w:pStyle w:val="ListParagraph"/>
        <w:numPr>
          <w:ilvl w:val="1"/>
          <w:numId w:val="3"/>
        </w:numPr>
        <w:tabs>
          <w:tab w:val="left" w:pos="1918"/>
        </w:tabs>
        <w:spacing w:line="252" w:lineRule="exact"/>
        <w:ind w:left="1918" w:hanging="359"/>
      </w:pPr>
      <w:r>
        <w:rPr>
          <w:color w:val="231F20"/>
        </w:rPr>
        <w:t>Auditor’s</w:t>
      </w:r>
      <w:r>
        <w:rPr>
          <w:color w:val="231F20"/>
          <w:spacing w:val="-4"/>
        </w:rPr>
        <w:t xml:space="preserve"> </w:t>
      </w:r>
      <w:r>
        <w:rPr>
          <w:color w:val="231F20"/>
        </w:rPr>
        <w:t>opinion</w:t>
      </w:r>
      <w:r>
        <w:rPr>
          <w:color w:val="231F20"/>
          <w:spacing w:val="-2"/>
        </w:rPr>
        <w:t xml:space="preserve"> </w:t>
      </w:r>
      <w:r>
        <w:rPr>
          <w:color w:val="231F20"/>
        </w:rPr>
        <w:t>on</w:t>
      </w:r>
      <w:r>
        <w:rPr>
          <w:color w:val="231F20"/>
          <w:spacing w:val="-3"/>
        </w:rPr>
        <w:t xml:space="preserve"> </w:t>
      </w:r>
      <w:r>
        <w:rPr>
          <w:color w:val="231F20"/>
        </w:rPr>
        <w:t>the</w:t>
      </w:r>
      <w:r>
        <w:rPr>
          <w:color w:val="231F20"/>
          <w:spacing w:val="-4"/>
        </w:rPr>
        <w:t xml:space="preserve"> </w:t>
      </w:r>
      <w:r>
        <w:rPr>
          <w:color w:val="231F20"/>
        </w:rPr>
        <w:t>financial</w:t>
      </w:r>
      <w:r>
        <w:rPr>
          <w:color w:val="231F20"/>
          <w:spacing w:val="-4"/>
        </w:rPr>
        <w:t xml:space="preserve"> </w:t>
      </w:r>
      <w:r>
        <w:rPr>
          <w:color w:val="231F20"/>
        </w:rPr>
        <w:t>statements</w:t>
      </w:r>
      <w:r>
        <w:rPr>
          <w:color w:val="231F20"/>
          <w:spacing w:val="-3"/>
        </w:rPr>
        <w:t xml:space="preserve"> </w:t>
      </w:r>
      <w:r>
        <w:rPr>
          <w:color w:val="231F20"/>
        </w:rPr>
        <w:t>and</w:t>
      </w:r>
      <w:r>
        <w:rPr>
          <w:color w:val="231F20"/>
          <w:spacing w:val="-4"/>
        </w:rPr>
        <w:t xml:space="preserve"> </w:t>
      </w:r>
      <w:r>
        <w:rPr>
          <w:color w:val="231F20"/>
        </w:rPr>
        <w:t>required</w:t>
      </w:r>
      <w:r>
        <w:rPr>
          <w:color w:val="231F20"/>
          <w:spacing w:val="-3"/>
        </w:rPr>
        <w:t xml:space="preserve"> </w:t>
      </w:r>
      <w:r>
        <w:rPr>
          <w:color w:val="231F20"/>
          <w:spacing w:val="-2"/>
        </w:rPr>
        <w:t>supplementary</w:t>
      </w:r>
    </w:p>
    <w:p w14:paraId="15491B8C" w14:textId="77777777" w:rsidR="00CE5677" w:rsidRDefault="00000000">
      <w:pPr>
        <w:pStyle w:val="ListParagraph"/>
        <w:numPr>
          <w:ilvl w:val="1"/>
          <w:numId w:val="3"/>
        </w:numPr>
        <w:tabs>
          <w:tab w:val="left" w:pos="1919"/>
        </w:tabs>
        <w:ind w:right="116"/>
        <w:jc w:val="both"/>
      </w:pPr>
      <w:r>
        <w:rPr>
          <w:color w:val="231F20"/>
        </w:rPr>
        <w:t>Report on Compliance and on Internal Control Over Financial Reporting based on an audit of financial statements performed in accordance with Government Auditing Standards (GAS) and/or Generally Accepted Auditing Standards (GAAS)</w:t>
      </w:r>
    </w:p>
    <w:p w14:paraId="30B278B1" w14:textId="77777777" w:rsidR="00CE5677" w:rsidRDefault="00000000">
      <w:pPr>
        <w:pStyle w:val="ListParagraph"/>
        <w:numPr>
          <w:ilvl w:val="1"/>
          <w:numId w:val="3"/>
        </w:numPr>
        <w:tabs>
          <w:tab w:val="left" w:pos="1919"/>
        </w:tabs>
        <w:spacing w:before="1"/>
        <w:ind w:right="116"/>
        <w:jc w:val="both"/>
      </w:pPr>
      <w:r>
        <w:rPr>
          <w:color w:val="231F20"/>
        </w:rPr>
        <w:t>Report on Compliance with requirements applicable to each “major program” and internal control over compliance in accordance with OMB Circular A-133</w:t>
      </w:r>
    </w:p>
    <w:p w14:paraId="49CCE5EF" w14:textId="77777777" w:rsidR="00CE5677" w:rsidRDefault="00000000">
      <w:pPr>
        <w:pStyle w:val="ListParagraph"/>
        <w:numPr>
          <w:ilvl w:val="1"/>
          <w:numId w:val="3"/>
        </w:numPr>
        <w:tabs>
          <w:tab w:val="left" w:pos="1918"/>
        </w:tabs>
        <w:spacing w:line="251" w:lineRule="exact"/>
        <w:ind w:left="1918" w:hanging="359"/>
        <w:jc w:val="both"/>
      </w:pPr>
      <w:r>
        <w:rPr>
          <w:color w:val="231F20"/>
        </w:rPr>
        <w:t>Schedule</w:t>
      </w:r>
      <w:r>
        <w:rPr>
          <w:color w:val="231F20"/>
          <w:spacing w:val="-4"/>
        </w:rPr>
        <w:t xml:space="preserve"> </w:t>
      </w:r>
      <w:r>
        <w:rPr>
          <w:color w:val="231F20"/>
        </w:rPr>
        <w:t>of</w:t>
      </w:r>
      <w:r>
        <w:rPr>
          <w:color w:val="231F20"/>
          <w:spacing w:val="-3"/>
        </w:rPr>
        <w:t xml:space="preserve"> </w:t>
      </w:r>
      <w:r>
        <w:rPr>
          <w:color w:val="231F20"/>
        </w:rPr>
        <w:t>Expenditures</w:t>
      </w:r>
      <w:r>
        <w:rPr>
          <w:color w:val="231F20"/>
          <w:spacing w:val="-4"/>
        </w:rPr>
        <w:t xml:space="preserve"> </w:t>
      </w:r>
      <w:r>
        <w:rPr>
          <w:color w:val="231F20"/>
        </w:rPr>
        <w:t>of</w:t>
      </w:r>
      <w:r>
        <w:rPr>
          <w:color w:val="231F20"/>
          <w:spacing w:val="-3"/>
        </w:rPr>
        <w:t xml:space="preserve"> </w:t>
      </w:r>
      <w:r>
        <w:rPr>
          <w:color w:val="231F20"/>
        </w:rPr>
        <w:t>Federal</w:t>
      </w:r>
      <w:r>
        <w:rPr>
          <w:color w:val="231F20"/>
          <w:spacing w:val="-2"/>
        </w:rPr>
        <w:t xml:space="preserve"> Awards</w:t>
      </w:r>
    </w:p>
    <w:p w14:paraId="549DCE2D" w14:textId="77777777" w:rsidR="00CE5677" w:rsidRDefault="00000000">
      <w:pPr>
        <w:pStyle w:val="ListParagraph"/>
        <w:numPr>
          <w:ilvl w:val="1"/>
          <w:numId w:val="3"/>
        </w:numPr>
        <w:tabs>
          <w:tab w:val="left" w:pos="1917"/>
          <w:tab w:val="left" w:pos="1919"/>
        </w:tabs>
        <w:spacing w:before="2"/>
        <w:ind w:right="115" w:hanging="361"/>
        <w:jc w:val="both"/>
      </w:pPr>
      <w:r>
        <w:rPr>
          <w:color w:val="231F20"/>
        </w:rPr>
        <w:t>Schedule of Findings and Questioned Costs (includes “summary of auditor’s results” and findings in the current and prior year audits)</w:t>
      </w:r>
    </w:p>
    <w:p w14:paraId="44FB71B5" w14:textId="77777777" w:rsidR="00CE5677" w:rsidRDefault="00000000">
      <w:pPr>
        <w:pStyle w:val="ListParagraph"/>
        <w:numPr>
          <w:ilvl w:val="1"/>
          <w:numId w:val="3"/>
        </w:numPr>
        <w:tabs>
          <w:tab w:val="left" w:pos="1918"/>
        </w:tabs>
        <w:ind w:left="1918" w:hanging="359"/>
        <w:jc w:val="both"/>
      </w:pPr>
      <w:r>
        <w:rPr>
          <w:color w:val="231F20"/>
        </w:rPr>
        <w:t>Data</w:t>
      </w:r>
      <w:r>
        <w:rPr>
          <w:color w:val="231F20"/>
          <w:spacing w:val="-5"/>
        </w:rPr>
        <w:t xml:space="preserve"> </w:t>
      </w:r>
      <w:r>
        <w:rPr>
          <w:color w:val="231F20"/>
        </w:rPr>
        <w:t>Collection</w:t>
      </w:r>
      <w:r>
        <w:rPr>
          <w:color w:val="231F20"/>
          <w:spacing w:val="-2"/>
        </w:rPr>
        <w:t xml:space="preserve"> </w:t>
      </w:r>
      <w:r>
        <w:rPr>
          <w:color w:val="231F20"/>
          <w:spacing w:val="-4"/>
        </w:rPr>
        <w:t>Form</w:t>
      </w:r>
    </w:p>
    <w:p w14:paraId="7D461307" w14:textId="77777777" w:rsidR="00CE5677" w:rsidRDefault="00CE5677">
      <w:pPr>
        <w:jc w:val="both"/>
        <w:sectPr w:rsidR="00CE5677">
          <w:type w:val="continuous"/>
          <w:pgSz w:w="12240" w:h="15840"/>
          <w:pgMar w:top="900" w:right="600" w:bottom="280" w:left="600" w:header="720" w:footer="720" w:gutter="0"/>
          <w:cols w:space="720"/>
        </w:sectPr>
      </w:pPr>
    </w:p>
    <w:p w14:paraId="0454F16D" w14:textId="77777777" w:rsidR="00CE5677" w:rsidRDefault="00000000">
      <w:pPr>
        <w:pStyle w:val="BodyText"/>
        <w:spacing w:before="73"/>
        <w:ind w:left="120"/>
        <w:jc w:val="both"/>
      </w:pPr>
      <w:r>
        <w:rPr>
          <w:color w:val="231F20"/>
        </w:rPr>
        <w:lastRenderedPageBreak/>
        <w:t>Audit</w:t>
      </w:r>
      <w:r>
        <w:rPr>
          <w:color w:val="231F20"/>
          <w:spacing w:val="-4"/>
        </w:rPr>
        <w:t xml:space="preserve"> </w:t>
      </w:r>
      <w:r>
        <w:rPr>
          <w:color w:val="231F20"/>
        </w:rPr>
        <w:t>reports</w:t>
      </w:r>
      <w:r>
        <w:rPr>
          <w:color w:val="231F20"/>
          <w:spacing w:val="-1"/>
        </w:rPr>
        <w:t xml:space="preserve"> </w:t>
      </w:r>
      <w:r>
        <w:rPr>
          <w:color w:val="231F20"/>
        </w:rPr>
        <w:t>from</w:t>
      </w:r>
      <w:r>
        <w:rPr>
          <w:color w:val="231F20"/>
          <w:spacing w:val="-6"/>
        </w:rPr>
        <w:t xml:space="preserve"> </w:t>
      </w:r>
      <w:r>
        <w:rPr>
          <w:color w:val="231F20"/>
        </w:rPr>
        <w:t>prior</w:t>
      </w:r>
      <w:r>
        <w:rPr>
          <w:color w:val="231F20"/>
          <w:spacing w:val="-3"/>
        </w:rPr>
        <w:t xml:space="preserve"> </w:t>
      </w:r>
      <w:r>
        <w:rPr>
          <w:color w:val="231F20"/>
        </w:rPr>
        <w:t>years</w:t>
      </w:r>
      <w:r>
        <w:rPr>
          <w:color w:val="231F20"/>
          <w:spacing w:val="-2"/>
        </w:rPr>
        <w:t xml:space="preserve"> </w:t>
      </w:r>
      <w:r>
        <w:rPr>
          <w:color w:val="231F20"/>
        </w:rPr>
        <w:t>will be</w:t>
      </w:r>
      <w:r>
        <w:rPr>
          <w:color w:val="231F20"/>
          <w:spacing w:val="-2"/>
        </w:rPr>
        <w:t xml:space="preserve"> </w:t>
      </w:r>
      <w:r>
        <w:rPr>
          <w:color w:val="231F20"/>
        </w:rPr>
        <w:t>provided</w:t>
      </w:r>
      <w:r>
        <w:rPr>
          <w:color w:val="231F20"/>
          <w:spacing w:val="-3"/>
        </w:rPr>
        <w:t xml:space="preserve"> </w:t>
      </w:r>
      <w:r>
        <w:rPr>
          <w:color w:val="231F20"/>
        </w:rPr>
        <w:t>upon</w:t>
      </w:r>
      <w:r>
        <w:rPr>
          <w:color w:val="231F20"/>
          <w:spacing w:val="-3"/>
        </w:rPr>
        <w:t xml:space="preserve"> </w:t>
      </w:r>
      <w:r>
        <w:rPr>
          <w:color w:val="231F20"/>
          <w:spacing w:val="-2"/>
        </w:rPr>
        <w:t>request.</w:t>
      </w:r>
    </w:p>
    <w:p w14:paraId="49BE9C11" w14:textId="77777777" w:rsidR="00CE5677" w:rsidRDefault="00CE5677">
      <w:pPr>
        <w:pStyle w:val="BodyText"/>
        <w:spacing w:before="1"/>
      </w:pPr>
    </w:p>
    <w:p w14:paraId="30761E3B" w14:textId="77777777" w:rsidR="00CE5677" w:rsidRDefault="00000000">
      <w:pPr>
        <w:pStyle w:val="BodyText"/>
        <w:ind w:left="119" w:right="115"/>
        <w:jc w:val="both"/>
      </w:pPr>
      <w:r>
        <w:rPr>
          <w:color w:val="231F20"/>
        </w:rPr>
        <w:t>The</w:t>
      </w:r>
      <w:r>
        <w:rPr>
          <w:color w:val="231F20"/>
          <w:spacing w:val="-1"/>
        </w:rPr>
        <w:t xml:space="preserve"> </w:t>
      </w:r>
      <w:r>
        <w:rPr>
          <w:color w:val="231F20"/>
        </w:rPr>
        <w:t>GHA wishes the audit</w:t>
      </w:r>
      <w:r>
        <w:rPr>
          <w:color w:val="231F20"/>
          <w:spacing w:val="-3"/>
        </w:rPr>
        <w:t xml:space="preserve"> </w:t>
      </w:r>
      <w:r>
        <w:rPr>
          <w:color w:val="231F20"/>
        </w:rPr>
        <w:t>to commence 120 days after the end</w:t>
      </w:r>
      <w:r>
        <w:rPr>
          <w:color w:val="231F20"/>
          <w:spacing w:val="-1"/>
        </w:rPr>
        <w:t xml:space="preserve"> </w:t>
      </w:r>
      <w:r>
        <w:rPr>
          <w:color w:val="231F20"/>
        </w:rPr>
        <w:t>of the</w:t>
      </w:r>
      <w:r>
        <w:rPr>
          <w:color w:val="231F20"/>
          <w:spacing w:val="-1"/>
        </w:rPr>
        <w:t xml:space="preserve"> </w:t>
      </w:r>
      <w:r>
        <w:rPr>
          <w:color w:val="231F20"/>
        </w:rPr>
        <w:t>fiscal year and to</w:t>
      </w:r>
      <w:r>
        <w:rPr>
          <w:color w:val="231F20"/>
          <w:spacing w:val="-1"/>
        </w:rPr>
        <w:t xml:space="preserve"> </w:t>
      </w:r>
      <w:r>
        <w:rPr>
          <w:color w:val="231F20"/>
        </w:rPr>
        <w:t>be completed within</w:t>
      </w:r>
      <w:r>
        <w:rPr>
          <w:color w:val="231F20"/>
          <w:spacing w:val="-1"/>
        </w:rPr>
        <w:t xml:space="preserve"> </w:t>
      </w:r>
      <w:r>
        <w:rPr>
          <w:color w:val="231F20"/>
        </w:rPr>
        <w:t>60 days (180 days after the end of the fiscal year). All findings and management points must be reviewed with the Authority during an exit conference to be held at the end of audit fieldwork. In addition, before GHA receives a final report, a draft report including all adjusting entries must first be reviewed with the Authority’s Fee Accountant.</w:t>
      </w:r>
    </w:p>
    <w:p w14:paraId="3E72800C" w14:textId="77777777" w:rsidR="00CE5677" w:rsidRDefault="00CE5677">
      <w:pPr>
        <w:pStyle w:val="BodyText"/>
        <w:spacing w:before="4"/>
      </w:pPr>
    </w:p>
    <w:p w14:paraId="49A71231" w14:textId="77777777" w:rsidR="00CE5677" w:rsidRDefault="00000000">
      <w:pPr>
        <w:pStyle w:val="Heading1"/>
        <w:jc w:val="both"/>
      </w:pPr>
      <w:r>
        <w:rPr>
          <w:color w:val="231F20"/>
          <w:u w:val="thick" w:color="231F20"/>
        </w:rPr>
        <w:t>Instructions</w:t>
      </w:r>
      <w:r>
        <w:rPr>
          <w:b w:val="0"/>
          <w:color w:val="231F20"/>
          <w:spacing w:val="-4"/>
          <w:u w:val="thick" w:color="231F20"/>
        </w:rPr>
        <w:t xml:space="preserve"> </w:t>
      </w:r>
      <w:r>
        <w:rPr>
          <w:color w:val="231F20"/>
          <w:u w:val="thick" w:color="231F20"/>
        </w:rPr>
        <w:t>for</w:t>
      </w:r>
      <w:r>
        <w:rPr>
          <w:b w:val="0"/>
          <w:color w:val="231F20"/>
          <w:spacing w:val="-4"/>
          <w:u w:val="thick" w:color="231F20"/>
        </w:rPr>
        <w:t xml:space="preserve"> </w:t>
      </w:r>
      <w:r>
        <w:rPr>
          <w:color w:val="231F20"/>
          <w:spacing w:val="-2"/>
          <w:u w:val="thick" w:color="231F20"/>
        </w:rPr>
        <w:t>Proposals:</w:t>
      </w:r>
    </w:p>
    <w:p w14:paraId="2971C6BB" w14:textId="603DC983" w:rsidR="00CE5677" w:rsidRDefault="00000000">
      <w:pPr>
        <w:pStyle w:val="ListParagraph"/>
        <w:numPr>
          <w:ilvl w:val="0"/>
          <w:numId w:val="2"/>
        </w:numPr>
        <w:tabs>
          <w:tab w:val="left" w:pos="838"/>
          <w:tab w:val="left" w:pos="2279"/>
        </w:tabs>
        <w:spacing w:before="248"/>
        <w:ind w:left="2279" w:right="1290" w:hanging="1800"/>
      </w:pPr>
      <w:r>
        <w:rPr>
          <w:color w:val="231F20"/>
        </w:rPr>
        <w:t>The</w:t>
      </w:r>
      <w:r>
        <w:rPr>
          <w:color w:val="231F20"/>
          <w:spacing w:val="-4"/>
        </w:rPr>
        <w:t xml:space="preserve"> </w:t>
      </w:r>
      <w:r w:rsidR="009C60DB">
        <w:rPr>
          <w:color w:val="231F20"/>
        </w:rPr>
        <w:t>proposed</w:t>
      </w:r>
      <w:r>
        <w:rPr>
          <w:color w:val="231F20"/>
          <w:spacing w:val="-4"/>
        </w:rPr>
        <w:t xml:space="preserve"> </w:t>
      </w:r>
      <w:r>
        <w:rPr>
          <w:color w:val="231F20"/>
        </w:rPr>
        <w:t>firm</w:t>
      </w:r>
      <w:r>
        <w:rPr>
          <w:color w:val="231F20"/>
          <w:spacing w:val="-6"/>
        </w:rPr>
        <w:t xml:space="preserve"> </w:t>
      </w:r>
      <w:r>
        <w:rPr>
          <w:color w:val="231F20"/>
        </w:rPr>
        <w:t>shall</w:t>
      </w:r>
      <w:r>
        <w:rPr>
          <w:color w:val="231F20"/>
          <w:spacing w:val="-1"/>
        </w:rPr>
        <w:t xml:space="preserve"> </w:t>
      </w:r>
      <w:r>
        <w:rPr>
          <w:color w:val="231F20"/>
        </w:rPr>
        <w:t>submit</w:t>
      </w:r>
      <w:r>
        <w:rPr>
          <w:color w:val="231F20"/>
          <w:spacing w:val="-1"/>
        </w:rPr>
        <w:t xml:space="preserve"> </w:t>
      </w:r>
      <w:r>
        <w:rPr>
          <w:color w:val="231F20"/>
        </w:rPr>
        <w:t>an</w:t>
      </w:r>
      <w:r>
        <w:rPr>
          <w:color w:val="231F20"/>
          <w:spacing w:val="-2"/>
        </w:rPr>
        <w:t xml:space="preserve"> </w:t>
      </w:r>
      <w:r>
        <w:rPr>
          <w:color w:val="231F20"/>
        </w:rPr>
        <w:t>original</w:t>
      </w:r>
      <w:r>
        <w:rPr>
          <w:color w:val="231F20"/>
          <w:spacing w:val="-4"/>
        </w:rPr>
        <w:t xml:space="preserve"> </w:t>
      </w:r>
      <w:r>
        <w:rPr>
          <w:color w:val="231F20"/>
        </w:rPr>
        <w:t>and</w:t>
      </w:r>
      <w:r>
        <w:rPr>
          <w:color w:val="231F20"/>
          <w:spacing w:val="-2"/>
        </w:rPr>
        <w:t xml:space="preserve"> </w:t>
      </w:r>
      <w:r w:rsidR="00842B3E">
        <w:rPr>
          <w:color w:val="231F20"/>
        </w:rPr>
        <w:t>3</w:t>
      </w:r>
      <w:r>
        <w:rPr>
          <w:color w:val="231F20"/>
          <w:spacing w:val="-4"/>
        </w:rPr>
        <w:t xml:space="preserve"> </w:t>
      </w:r>
      <w:r>
        <w:rPr>
          <w:color w:val="231F20"/>
        </w:rPr>
        <w:t>copies</w:t>
      </w:r>
      <w:r>
        <w:rPr>
          <w:color w:val="231F20"/>
          <w:spacing w:val="-2"/>
        </w:rPr>
        <w:t xml:space="preserve"> </w:t>
      </w:r>
      <w:r>
        <w:rPr>
          <w:color w:val="231F20"/>
        </w:rPr>
        <w:t>of</w:t>
      </w:r>
      <w:r>
        <w:rPr>
          <w:color w:val="231F20"/>
          <w:spacing w:val="-4"/>
        </w:rPr>
        <w:t xml:space="preserve"> </w:t>
      </w:r>
      <w:r>
        <w:rPr>
          <w:color w:val="231F20"/>
        </w:rPr>
        <w:t>the</w:t>
      </w:r>
      <w:r>
        <w:rPr>
          <w:color w:val="231F20"/>
          <w:spacing w:val="-4"/>
        </w:rPr>
        <w:t xml:space="preserve"> </w:t>
      </w:r>
      <w:r>
        <w:rPr>
          <w:color w:val="231F20"/>
        </w:rPr>
        <w:t>proposal</w:t>
      </w:r>
      <w:r>
        <w:rPr>
          <w:color w:val="231F20"/>
          <w:spacing w:val="-1"/>
        </w:rPr>
        <w:t xml:space="preserve"> </w:t>
      </w:r>
      <w:r>
        <w:rPr>
          <w:color w:val="231F20"/>
        </w:rPr>
        <w:t>to</w:t>
      </w:r>
      <w:r>
        <w:rPr>
          <w:color w:val="231F20"/>
          <w:spacing w:val="-2"/>
        </w:rPr>
        <w:t xml:space="preserve"> </w:t>
      </w:r>
      <w:r>
        <w:rPr>
          <w:color w:val="231F20"/>
        </w:rPr>
        <w:t>be</w:t>
      </w:r>
      <w:r>
        <w:rPr>
          <w:color w:val="231F20"/>
          <w:spacing w:val="-2"/>
        </w:rPr>
        <w:t xml:space="preserve"> </w:t>
      </w:r>
      <w:r>
        <w:rPr>
          <w:color w:val="231F20"/>
        </w:rPr>
        <w:t>delivered</w:t>
      </w:r>
      <w:r>
        <w:rPr>
          <w:color w:val="231F20"/>
          <w:spacing w:val="-2"/>
        </w:rPr>
        <w:t xml:space="preserve"> </w:t>
      </w:r>
      <w:r>
        <w:rPr>
          <w:color w:val="231F20"/>
        </w:rPr>
        <w:t>or</w:t>
      </w:r>
      <w:r>
        <w:rPr>
          <w:color w:val="231F20"/>
          <w:spacing w:val="-1"/>
        </w:rPr>
        <w:t xml:space="preserve"> </w:t>
      </w:r>
      <w:r>
        <w:rPr>
          <w:color w:val="231F20"/>
        </w:rPr>
        <w:t>mailed</w:t>
      </w:r>
      <w:r>
        <w:rPr>
          <w:color w:val="231F20"/>
          <w:spacing w:val="-2"/>
        </w:rPr>
        <w:t xml:space="preserve"> </w:t>
      </w:r>
      <w:r>
        <w:rPr>
          <w:color w:val="231F20"/>
        </w:rPr>
        <w:t xml:space="preserve">to: </w:t>
      </w:r>
    </w:p>
    <w:p w14:paraId="46508D42" w14:textId="2B8B4E34" w:rsidR="006F3F93" w:rsidRDefault="006F3F93">
      <w:pPr>
        <w:pStyle w:val="BodyText"/>
        <w:ind w:left="2279" w:right="5729"/>
        <w:rPr>
          <w:color w:val="231F20"/>
        </w:rPr>
      </w:pPr>
      <w:r>
        <w:rPr>
          <w:color w:val="231F20"/>
        </w:rPr>
        <w:t>Percell Harris</w:t>
      </w:r>
    </w:p>
    <w:p w14:paraId="400B28D0" w14:textId="3A317AE3" w:rsidR="006F3F93" w:rsidRDefault="006F3F93">
      <w:pPr>
        <w:pStyle w:val="BodyText"/>
        <w:ind w:left="2279" w:right="5729"/>
        <w:rPr>
          <w:color w:val="231F20"/>
        </w:rPr>
      </w:pPr>
      <w:r>
        <w:rPr>
          <w:color w:val="231F20"/>
        </w:rPr>
        <w:t>Procurement Manager</w:t>
      </w:r>
    </w:p>
    <w:p w14:paraId="0CE1C11D" w14:textId="0439FF7E" w:rsidR="00CE5677" w:rsidRDefault="00000000">
      <w:pPr>
        <w:pStyle w:val="BodyText"/>
        <w:ind w:left="2279" w:right="5729"/>
      </w:pPr>
      <w:r>
        <w:rPr>
          <w:color w:val="231F20"/>
        </w:rPr>
        <w:t>Greenville</w:t>
      </w:r>
      <w:r>
        <w:rPr>
          <w:color w:val="231F20"/>
          <w:spacing w:val="-14"/>
        </w:rPr>
        <w:t xml:space="preserve"> </w:t>
      </w:r>
      <w:r>
        <w:rPr>
          <w:color w:val="231F20"/>
        </w:rPr>
        <w:t>Housing</w:t>
      </w:r>
      <w:r>
        <w:rPr>
          <w:color w:val="231F20"/>
          <w:spacing w:val="-14"/>
        </w:rPr>
        <w:t xml:space="preserve"> </w:t>
      </w:r>
      <w:r>
        <w:rPr>
          <w:color w:val="231F20"/>
        </w:rPr>
        <w:t>Authority 1103 Broad Street</w:t>
      </w:r>
    </w:p>
    <w:p w14:paraId="4BBA2C75" w14:textId="77777777" w:rsidR="00CE5677" w:rsidRDefault="00000000">
      <w:pPr>
        <w:pStyle w:val="BodyText"/>
        <w:spacing w:line="252" w:lineRule="exact"/>
        <w:ind w:left="2279"/>
      </w:pPr>
      <w:r>
        <w:rPr>
          <w:color w:val="231F20"/>
        </w:rPr>
        <w:t>Greenville,</w:t>
      </w:r>
      <w:r>
        <w:rPr>
          <w:color w:val="231F20"/>
          <w:spacing w:val="-3"/>
        </w:rPr>
        <w:t xml:space="preserve"> </w:t>
      </w:r>
      <w:r>
        <w:rPr>
          <w:color w:val="231F20"/>
        </w:rPr>
        <w:t>NC</w:t>
      </w:r>
      <w:r>
        <w:rPr>
          <w:color w:val="231F20"/>
          <w:spacing w:val="-2"/>
        </w:rPr>
        <w:t xml:space="preserve"> </w:t>
      </w:r>
      <w:r>
        <w:rPr>
          <w:color w:val="231F20"/>
          <w:spacing w:val="-4"/>
        </w:rPr>
        <w:t>27834</w:t>
      </w:r>
    </w:p>
    <w:p w14:paraId="404863D0" w14:textId="3AC5F10F" w:rsidR="00CE5677" w:rsidRDefault="00000000">
      <w:pPr>
        <w:pStyle w:val="BodyText"/>
        <w:spacing w:line="252" w:lineRule="exact"/>
        <w:ind w:left="2279"/>
      </w:pPr>
      <w:r>
        <w:rPr>
          <w:color w:val="231F20"/>
          <w:spacing w:val="-2"/>
        </w:rPr>
        <w:t>252-</w:t>
      </w:r>
      <w:r w:rsidR="006F3F93">
        <w:rPr>
          <w:color w:val="231F20"/>
          <w:spacing w:val="-2"/>
        </w:rPr>
        <w:t>902-4471</w:t>
      </w:r>
    </w:p>
    <w:p w14:paraId="3429FE33" w14:textId="010A38D9" w:rsidR="00CE5677" w:rsidRDefault="006F3F93">
      <w:pPr>
        <w:pStyle w:val="BodyText"/>
        <w:spacing w:before="2"/>
        <w:ind w:left="2279"/>
      </w:pPr>
      <w:hyperlink r:id="rId5" w:history="1">
        <w:r w:rsidRPr="005F68A1">
          <w:rPr>
            <w:rStyle w:val="Hyperlink"/>
            <w:spacing w:val="-2"/>
          </w:rPr>
          <w:t>harrisp@ghanc.net</w:t>
        </w:r>
      </w:hyperlink>
    </w:p>
    <w:p w14:paraId="4A09C9FC" w14:textId="44737AFA" w:rsidR="00CE5677" w:rsidRDefault="00000000">
      <w:pPr>
        <w:pStyle w:val="ListParagraph"/>
        <w:numPr>
          <w:ilvl w:val="0"/>
          <w:numId w:val="2"/>
        </w:numPr>
        <w:tabs>
          <w:tab w:val="left" w:pos="840"/>
          <w:tab w:val="left" w:pos="895"/>
        </w:tabs>
        <w:spacing w:before="251"/>
        <w:ind w:left="840" w:right="118" w:hanging="361"/>
      </w:pPr>
      <w:r>
        <w:rPr>
          <w:color w:val="231F20"/>
        </w:rPr>
        <w:t>All</w:t>
      </w:r>
      <w:r>
        <w:rPr>
          <w:color w:val="231F20"/>
          <w:spacing w:val="40"/>
        </w:rPr>
        <w:t xml:space="preserve"> </w:t>
      </w:r>
      <w:r>
        <w:rPr>
          <w:color w:val="231F20"/>
        </w:rPr>
        <w:t xml:space="preserve">proposals shall be submitted no later than 4:00pm EST, </w:t>
      </w:r>
      <w:r w:rsidR="006F3F93">
        <w:rPr>
          <w:color w:val="231F20"/>
        </w:rPr>
        <w:t>Fri</w:t>
      </w:r>
      <w:r>
        <w:rPr>
          <w:color w:val="231F20"/>
        </w:rPr>
        <w:t xml:space="preserve">day, </w:t>
      </w:r>
      <w:r w:rsidR="006F3F93">
        <w:rPr>
          <w:color w:val="231F20"/>
        </w:rPr>
        <w:t>September</w:t>
      </w:r>
      <w:r>
        <w:rPr>
          <w:color w:val="231F20"/>
        </w:rPr>
        <w:t xml:space="preserve"> </w:t>
      </w:r>
      <w:r w:rsidR="006F3F93">
        <w:rPr>
          <w:color w:val="231F20"/>
        </w:rPr>
        <w:t>12</w:t>
      </w:r>
      <w:r>
        <w:rPr>
          <w:color w:val="231F20"/>
        </w:rPr>
        <w:t>, 20</w:t>
      </w:r>
      <w:r w:rsidR="006F3F93">
        <w:rPr>
          <w:color w:val="231F20"/>
        </w:rPr>
        <w:t>25</w:t>
      </w:r>
      <w:r>
        <w:rPr>
          <w:color w:val="231F20"/>
        </w:rPr>
        <w:t>.</w:t>
      </w:r>
      <w:r>
        <w:rPr>
          <w:color w:val="231F20"/>
          <w:spacing w:val="80"/>
        </w:rPr>
        <w:t xml:space="preserve"> </w:t>
      </w:r>
      <w:r>
        <w:rPr>
          <w:color w:val="231F20"/>
        </w:rPr>
        <w:t>Proposals must include the following at a minimum:</w:t>
      </w:r>
    </w:p>
    <w:p w14:paraId="7496B21E" w14:textId="77777777" w:rsidR="00CE5677" w:rsidRDefault="00000000">
      <w:pPr>
        <w:pStyle w:val="ListParagraph"/>
        <w:numPr>
          <w:ilvl w:val="1"/>
          <w:numId w:val="2"/>
        </w:numPr>
        <w:tabs>
          <w:tab w:val="left" w:pos="1559"/>
        </w:tabs>
        <w:ind w:left="1559" w:hanging="359"/>
      </w:pPr>
      <w:r>
        <w:rPr>
          <w:color w:val="231F20"/>
        </w:rPr>
        <w:t>Description,</w:t>
      </w:r>
      <w:r>
        <w:rPr>
          <w:color w:val="231F20"/>
          <w:spacing w:val="-5"/>
        </w:rPr>
        <w:t xml:space="preserve"> </w:t>
      </w:r>
      <w:r>
        <w:rPr>
          <w:color w:val="231F20"/>
        </w:rPr>
        <w:t>history,</w:t>
      </w:r>
      <w:r>
        <w:rPr>
          <w:color w:val="231F20"/>
          <w:spacing w:val="-2"/>
        </w:rPr>
        <w:t xml:space="preserve"> </w:t>
      </w:r>
      <w:r>
        <w:rPr>
          <w:color w:val="231F20"/>
        </w:rPr>
        <w:t>and</w:t>
      </w:r>
      <w:r>
        <w:rPr>
          <w:color w:val="231F20"/>
          <w:spacing w:val="-2"/>
        </w:rPr>
        <w:t xml:space="preserve"> </w:t>
      </w:r>
      <w:r>
        <w:rPr>
          <w:color w:val="231F20"/>
        </w:rPr>
        <w:t>composition</w:t>
      </w:r>
      <w:r>
        <w:rPr>
          <w:color w:val="231F20"/>
          <w:spacing w:val="-4"/>
        </w:rPr>
        <w:t xml:space="preserve"> </w:t>
      </w:r>
      <w:r>
        <w:rPr>
          <w:color w:val="231F20"/>
        </w:rPr>
        <w:t>of</w:t>
      </w:r>
      <w:r>
        <w:rPr>
          <w:color w:val="231F20"/>
          <w:spacing w:val="-4"/>
        </w:rPr>
        <w:t xml:space="preserve"> </w:t>
      </w:r>
      <w:r>
        <w:rPr>
          <w:color w:val="231F20"/>
        </w:rPr>
        <w:t>the</w:t>
      </w:r>
      <w:r>
        <w:rPr>
          <w:color w:val="231F20"/>
          <w:spacing w:val="-3"/>
        </w:rPr>
        <w:t xml:space="preserve"> </w:t>
      </w:r>
      <w:r>
        <w:rPr>
          <w:color w:val="231F20"/>
          <w:spacing w:val="-4"/>
        </w:rPr>
        <w:t>firm</w:t>
      </w:r>
    </w:p>
    <w:p w14:paraId="543C267A" w14:textId="77777777" w:rsidR="00CE5677" w:rsidRDefault="00000000">
      <w:pPr>
        <w:pStyle w:val="ListParagraph"/>
        <w:numPr>
          <w:ilvl w:val="1"/>
          <w:numId w:val="2"/>
        </w:numPr>
        <w:tabs>
          <w:tab w:val="left" w:pos="1558"/>
        </w:tabs>
        <w:spacing w:before="1" w:line="252" w:lineRule="exact"/>
        <w:ind w:left="1558" w:hanging="359"/>
      </w:pPr>
      <w:r>
        <w:rPr>
          <w:color w:val="231F20"/>
        </w:rPr>
        <w:t>Relevant</w:t>
      </w:r>
      <w:r>
        <w:rPr>
          <w:color w:val="231F20"/>
          <w:spacing w:val="-2"/>
        </w:rPr>
        <w:t xml:space="preserve"> </w:t>
      </w:r>
      <w:r>
        <w:rPr>
          <w:color w:val="231F20"/>
        </w:rPr>
        <w:t>public</w:t>
      </w:r>
      <w:r>
        <w:rPr>
          <w:color w:val="231F20"/>
          <w:spacing w:val="-2"/>
        </w:rPr>
        <w:t xml:space="preserve"> </w:t>
      </w:r>
      <w:r>
        <w:rPr>
          <w:color w:val="231F20"/>
        </w:rPr>
        <w:t>housing</w:t>
      </w:r>
      <w:r>
        <w:rPr>
          <w:color w:val="231F20"/>
          <w:spacing w:val="-5"/>
        </w:rPr>
        <w:t xml:space="preserve"> </w:t>
      </w:r>
      <w:r>
        <w:rPr>
          <w:color w:val="231F20"/>
        </w:rPr>
        <w:t>auditing</w:t>
      </w:r>
      <w:r>
        <w:rPr>
          <w:color w:val="231F20"/>
          <w:spacing w:val="-4"/>
        </w:rPr>
        <w:t xml:space="preserve"> </w:t>
      </w:r>
      <w:r>
        <w:rPr>
          <w:color w:val="231F20"/>
        </w:rPr>
        <w:t>experience</w:t>
      </w:r>
      <w:r>
        <w:rPr>
          <w:color w:val="231F20"/>
          <w:spacing w:val="-3"/>
        </w:rPr>
        <w:t xml:space="preserve"> </w:t>
      </w:r>
      <w:r>
        <w:rPr>
          <w:color w:val="231F20"/>
        </w:rPr>
        <w:t>of</w:t>
      </w:r>
      <w:r>
        <w:rPr>
          <w:color w:val="231F20"/>
          <w:spacing w:val="-1"/>
        </w:rPr>
        <w:t xml:space="preserve"> </w:t>
      </w:r>
      <w:r>
        <w:rPr>
          <w:color w:val="231F20"/>
        </w:rPr>
        <w:t>firm</w:t>
      </w:r>
      <w:r>
        <w:rPr>
          <w:color w:val="231F20"/>
          <w:spacing w:val="-6"/>
        </w:rPr>
        <w:t xml:space="preserve"> </w:t>
      </w:r>
      <w:r>
        <w:rPr>
          <w:color w:val="231F20"/>
        </w:rPr>
        <w:t>and</w:t>
      </w:r>
      <w:r>
        <w:rPr>
          <w:color w:val="231F20"/>
          <w:spacing w:val="-3"/>
        </w:rPr>
        <w:t xml:space="preserve"> </w:t>
      </w:r>
      <w:r>
        <w:rPr>
          <w:color w:val="231F20"/>
        </w:rPr>
        <w:t>individuals</w:t>
      </w:r>
      <w:r>
        <w:rPr>
          <w:color w:val="231F20"/>
          <w:spacing w:val="-2"/>
        </w:rPr>
        <w:t xml:space="preserve"> </w:t>
      </w:r>
      <w:r>
        <w:rPr>
          <w:color w:val="231F20"/>
        </w:rPr>
        <w:t>assigned</w:t>
      </w:r>
      <w:r>
        <w:rPr>
          <w:color w:val="231F20"/>
          <w:spacing w:val="-5"/>
        </w:rPr>
        <w:t xml:space="preserve"> </w:t>
      </w:r>
      <w:r>
        <w:rPr>
          <w:color w:val="231F20"/>
        </w:rPr>
        <w:t>to</w:t>
      </w:r>
      <w:r>
        <w:rPr>
          <w:color w:val="231F20"/>
          <w:spacing w:val="-4"/>
        </w:rPr>
        <w:t xml:space="preserve"> </w:t>
      </w:r>
      <w:r>
        <w:rPr>
          <w:color w:val="231F20"/>
        </w:rPr>
        <w:t>the</w:t>
      </w:r>
      <w:r>
        <w:rPr>
          <w:color w:val="231F20"/>
          <w:spacing w:val="-2"/>
        </w:rPr>
        <w:t xml:space="preserve"> audit</w:t>
      </w:r>
    </w:p>
    <w:p w14:paraId="229D00A5" w14:textId="77777777" w:rsidR="00CE5677" w:rsidRDefault="00000000">
      <w:pPr>
        <w:pStyle w:val="ListParagraph"/>
        <w:numPr>
          <w:ilvl w:val="1"/>
          <w:numId w:val="2"/>
        </w:numPr>
        <w:tabs>
          <w:tab w:val="left" w:pos="1560"/>
        </w:tabs>
        <w:ind w:right="116" w:hanging="361"/>
      </w:pPr>
      <w:r>
        <w:rPr>
          <w:color w:val="231F20"/>
        </w:rPr>
        <w:t>Not</w:t>
      </w:r>
      <w:r>
        <w:rPr>
          <w:color w:val="231F20"/>
          <w:spacing w:val="32"/>
        </w:rPr>
        <w:t xml:space="preserve"> </w:t>
      </w:r>
      <w:r>
        <w:rPr>
          <w:color w:val="231F20"/>
        </w:rPr>
        <w:t>less</w:t>
      </w:r>
      <w:r>
        <w:rPr>
          <w:color w:val="231F20"/>
          <w:spacing w:val="32"/>
        </w:rPr>
        <w:t xml:space="preserve"> </w:t>
      </w:r>
      <w:r>
        <w:rPr>
          <w:color w:val="231F20"/>
        </w:rPr>
        <w:t>than</w:t>
      </w:r>
      <w:r>
        <w:rPr>
          <w:color w:val="231F20"/>
          <w:spacing w:val="32"/>
        </w:rPr>
        <w:t xml:space="preserve"> </w:t>
      </w:r>
      <w:r>
        <w:rPr>
          <w:color w:val="231F20"/>
        </w:rPr>
        <w:t>three</w:t>
      </w:r>
      <w:r>
        <w:rPr>
          <w:color w:val="231F20"/>
          <w:spacing w:val="32"/>
        </w:rPr>
        <w:t xml:space="preserve"> </w:t>
      </w:r>
      <w:r>
        <w:rPr>
          <w:color w:val="231F20"/>
        </w:rPr>
        <w:t>(3)</w:t>
      </w:r>
      <w:r>
        <w:rPr>
          <w:color w:val="231F20"/>
          <w:spacing w:val="32"/>
        </w:rPr>
        <w:t xml:space="preserve"> </w:t>
      </w:r>
      <w:r>
        <w:rPr>
          <w:color w:val="231F20"/>
        </w:rPr>
        <w:t>references</w:t>
      </w:r>
      <w:r>
        <w:rPr>
          <w:color w:val="231F20"/>
          <w:spacing w:val="30"/>
        </w:rPr>
        <w:t xml:space="preserve"> </w:t>
      </w:r>
      <w:r>
        <w:rPr>
          <w:color w:val="231F20"/>
        </w:rPr>
        <w:t>for</w:t>
      </w:r>
      <w:r>
        <w:rPr>
          <w:color w:val="231F20"/>
          <w:spacing w:val="32"/>
        </w:rPr>
        <w:t xml:space="preserve"> </w:t>
      </w:r>
      <w:r>
        <w:rPr>
          <w:color w:val="231F20"/>
        </w:rPr>
        <w:t>which</w:t>
      </w:r>
      <w:r>
        <w:rPr>
          <w:color w:val="231F20"/>
          <w:spacing w:val="32"/>
        </w:rPr>
        <w:t xml:space="preserve"> </w:t>
      </w:r>
      <w:r>
        <w:rPr>
          <w:color w:val="231F20"/>
        </w:rPr>
        <w:t>the</w:t>
      </w:r>
      <w:r>
        <w:rPr>
          <w:color w:val="231F20"/>
          <w:spacing w:val="32"/>
        </w:rPr>
        <w:t xml:space="preserve"> </w:t>
      </w:r>
      <w:r>
        <w:rPr>
          <w:color w:val="231F20"/>
        </w:rPr>
        <w:t>firm</w:t>
      </w:r>
      <w:r>
        <w:rPr>
          <w:color w:val="231F20"/>
          <w:spacing w:val="28"/>
        </w:rPr>
        <w:t xml:space="preserve"> </w:t>
      </w:r>
      <w:r>
        <w:rPr>
          <w:color w:val="231F20"/>
        </w:rPr>
        <w:t>has</w:t>
      </w:r>
      <w:r>
        <w:rPr>
          <w:color w:val="231F20"/>
          <w:spacing w:val="32"/>
        </w:rPr>
        <w:t xml:space="preserve"> </w:t>
      </w:r>
      <w:r>
        <w:rPr>
          <w:color w:val="231F20"/>
        </w:rPr>
        <w:t>performed</w:t>
      </w:r>
      <w:r>
        <w:rPr>
          <w:color w:val="231F20"/>
          <w:spacing w:val="32"/>
        </w:rPr>
        <w:t xml:space="preserve"> </w:t>
      </w:r>
      <w:r>
        <w:rPr>
          <w:color w:val="231F20"/>
        </w:rPr>
        <w:t>similar</w:t>
      </w:r>
      <w:r>
        <w:rPr>
          <w:color w:val="231F20"/>
          <w:spacing w:val="30"/>
        </w:rPr>
        <w:t xml:space="preserve"> </w:t>
      </w:r>
      <w:r>
        <w:rPr>
          <w:color w:val="231F20"/>
        </w:rPr>
        <w:t>work.</w:t>
      </w:r>
      <w:r>
        <w:rPr>
          <w:color w:val="231F20"/>
          <w:spacing w:val="31"/>
        </w:rPr>
        <w:t xml:space="preserve"> </w:t>
      </w:r>
      <w:r>
        <w:rPr>
          <w:color w:val="231F20"/>
        </w:rPr>
        <w:t>Please</w:t>
      </w:r>
      <w:r>
        <w:rPr>
          <w:color w:val="231F20"/>
          <w:spacing w:val="29"/>
        </w:rPr>
        <w:t xml:space="preserve"> </w:t>
      </w:r>
      <w:r>
        <w:rPr>
          <w:color w:val="231F20"/>
        </w:rPr>
        <w:t>indicate</w:t>
      </w:r>
      <w:r>
        <w:rPr>
          <w:color w:val="231F20"/>
          <w:spacing w:val="29"/>
        </w:rPr>
        <w:t xml:space="preserve"> </w:t>
      </w:r>
      <w:r>
        <w:rPr>
          <w:color w:val="231F20"/>
        </w:rPr>
        <w:t>the nature of the work performed as well as the size of the authority.</w:t>
      </w:r>
    </w:p>
    <w:p w14:paraId="7C2E8A1D" w14:textId="77777777" w:rsidR="00CE5677" w:rsidRDefault="00000000">
      <w:pPr>
        <w:pStyle w:val="ListParagraph"/>
        <w:numPr>
          <w:ilvl w:val="1"/>
          <w:numId w:val="2"/>
        </w:numPr>
        <w:tabs>
          <w:tab w:val="left" w:pos="1560"/>
        </w:tabs>
        <w:ind w:right="116"/>
      </w:pPr>
      <w:r>
        <w:rPr>
          <w:color w:val="231F20"/>
        </w:rPr>
        <w:t>Resumes</w:t>
      </w:r>
      <w:r>
        <w:rPr>
          <w:color w:val="231F20"/>
          <w:spacing w:val="25"/>
        </w:rPr>
        <w:t xml:space="preserve"> </w:t>
      </w:r>
      <w:r>
        <w:rPr>
          <w:color w:val="231F20"/>
        </w:rPr>
        <w:t>of</w:t>
      </w:r>
      <w:r>
        <w:rPr>
          <w:color w:val="231F20"/>
          <w:spacing w:val="25"/>
        </w:rPr>
        <w:t xml:space="preserve"> </w:t>
      </w:r>
      <w:r>
        <w:rPr>
          <w:color w:val="231F20"/>
        </w:rPr>
        <w:t>all</w:t>
      </w:r>
      <w:r>
        <w:rPr>
          <w:color w:val="231F20"/>
          <w:spacing w:val="23"/>
        </w:rPr>
        <w:t xml:space="preserve"> </w:t>
      </w:r>
      <w:r>
        <w:rPr>
          <w:color w:val="231F20"/>
        </w:rPr>
        <w:t>individuals</w:t>
      </w:r>
      <w:r>
        <w:rPr>
          <w:color w:val="231F20"/>
          <w:spacing w:val="22"/>
        </w:rPr>
        <w:t xml:space="preserve"> </w:t>
      </w:r>
      <w:r>
        <w:rPr>
          <w:color w:val="231F20"/>
        </w:rPr>
        <w:t>assigned</w:t>
      </w:r>
      <w:r>
        <w:rPr>
          <w:color w:val="231F20"/>
          <w:spacing w:val="24"/>
        </w:rPr>
        <w:t xml:space="preserve"> </w:t>
      </w:r>
      <w:r>
        <w:rPr>
          <w:color w:val="231F20"/>
        </w:rPr>
        <w:t>to</w:t>
      </w:r>
      <w:r>
        <w:rPr>
          <w:color w:val="231F20"/>
          <w:spacing w:val="22"/>
        </w:rPr>
        <w:t xml:space="preserve"> </w:t>
      </w:r>
      <w:r>
        <w:rPr>
          <w:color w:val="231F20"/>
        </w:rPr>
        <w:t>the</w:t>
      </w:r>
      <w:r>
        <w:rPr>
          <w:color w:val="231F20"/>
          <w:spacing w:val="25"/>
        </w:rPr>
        <w:t xml:space="preserve"> </w:t>
      </w:r>
      <w:r>
        <w:rPr>
          <w:color w:val="231F20"/>
        </w:rPr>
        <w:t>audit</w:t>
      </w:r>
      <w:r>
        <w:rPr>
          <w:color w:val="231F20"/>
          <w:spacing w:val="25"/>
        </w:rPr>
        <w:t xml:space="preserve"> </w:t>
      </w:r>
      <w:r>
        <w:rPr>
          <w:color w:val="231F20"/>
        </w:rPr>
        <w:t>as</w:t>
      </w:r>
      <w:r>
        <w:rPr>
          <w:color w:val="231F20"/>
          <w:spacing w:val="22"/>
        </w:rPr>
        <w:t xml:space="preserve"> </w:t>
      </w:r>
      <w:r>
        <w:rPr>
          <w:color w:val="231F20"/>
        </w:rPr>
        <w:t>well</w:t>
      </w:r>
      <w:r>
        <w:rPr>
          <w:color w:val="231F20"/>
          <w:spacing w:val="25"/>
        </w:rPr>
        <w:t xml:space="preserve"> </w:t>
      </w:r>
      <w:r>
        <w:rPr>
          <w:color w:val="231F20"/>
        </w:rPr>
        <w:t>as</w:t>
      </w:r>
      <w:r>
        <w:rPr>
          <w:color w:val="231F20"/>
          <w:spacing w:val="25"/>
        </w:rPr>
        <w:t xml:space="preserve"> </w:t>
      </w:r>
      <w:r>
        <w:rPr>
          <w:color w:val="231F20"/>
        </w:rPr>
        <w:t>professional</w:t>
      </w:r>
      <w:r>
        <w:rPr>
          <w:color w:val="231F20"/>
          <w:spacing w:val="25"/>
        </w:rPr>
        <w:t xml:space="preserve"> </w:t>
      </w:r>
      <w:r>
        <w:rPr>
          <w:color w:val="231F20"/>
        </w:rPr>
        <w:t>and</w:t>
      </w:r>
      <w:r>
        <w:rPr>
          <w:color w:val="231F20"/>
          <w:spacing w:val="22"/>
        </w:rPr>
        <w:t xml:space="preserve"> </w:t>
      </w:r>
      <w:r>
        <w:rPr>
          <w:color w:val="231F20"/>
        </w:rPr>
        <w:t>technical</w:t>
      </w:r>
      <w:r>
        <w:rPr>
          <w:color w:val="231F20"/>
          <w:spacing w:val="25"/>
        </w:rPr>
        <w:t xml:space="preserve"> </w:t>
      </w:r>
      <w:r>
        <w:rPr>
          <w:color w:val="231F20"/>
        </w:rPr>
        <w:t>qualifications</w:t>
      </w:r>
      <w:r>
        <w:rPr>
          <w:color w:val="231F20"/>
          <w:spacing w:val="25"/>
        </w:rPr>
        <w:t xml:space="preserve"> </w:t>
      </w:r>
      <w:r>
        <w:rPr>
          <w:color w:val="231F20"/>
        </w:rPr>
        <w:t xml:space="preserve">of </w:t>
      </w:r>
      <w:r>
        <w:rPr>
          <w:color w:val="231F20"/>
          <w:spacing w:val="-2"/>
        </w:rPr>
        <w:t>each.</w:t>
      </w:r>
    </w:p>
    <w:p w14:paraId="20756203" w14:textId="77777777" w:rsidR="00CE5677" w:rsidRDefault="00000000">
      <w:pPr>
        <w:pStyle w:val="ListParagraph"/>
        <w:numPr>
          <w:ilvl w:val="1"/>
          <w:numId w:val="2"/>
        </w:numPr>
        <w:tabs>
          <w:tab w:val="left" w:pos="1560"/>
        </w:tabs>
        <w:spacing w:before="1"/>
        <w:ind w:right="116"/>
      </w:pPr>
      <w:r>
        <w:rPr>
          <w:color w:val="231F20"/>
        </w:rPr>
        <w:t>Copy of</w:t>
      </w:r>
      <w:r>
        <w:rPr>
          <w:color w:val="231F20"/>
          <w:spacing w:val="18"/>
        </w:rPr>
        <w:t xml:space="preserve"> </w:t>
      </w:r>
      <w:r>
        <w:rPr>
          <w:color w:val="231F20"/>
        </w:rPr>
        <w:t>the CPA license for</w:t>
      </w:r>
      <w:r>
        <w:rPr>
          <w:color w:val="231F20"/>
          <w:spacing w:val="18"/>
        </w:rPr>
        <w:t xml:space="preserve"> </w:t>
      </w:r>
      <w:r>
        <w:rPr>
          <w:color w:val="231F20"/>
        </w:rPr>
        <w:t>all individuals</w:t>
      </w:r>
      <w:r>
        <w:rPr>
          <w:color w:val="231F20"/>
          <w:spacing w:val="18"/>
        </w:rPr>
        <w:t xml:space="preserve"> </w:t>
      </w:r>
      <w:r>
        <w:rPr>
          <w:color w:val="231F20"/>
        </w:rPr>
        <w:t>assigned to the audit</w:t>
      </w:r>
      <w:r>
        <w:rPr>
          <w:color w:val="231F20"/>
          <w:spacing w:val="18"/>
        </w:rPr>
        <w:t xml:space="preserve"> </w:t>
      </w:r>
      <w:r>
        <w:rPr>
          <w:color w:val="231F20"/>
        </w:rPr>
        <w:t>and documentation from the Board of</w:t>
      </w:r>
      <w:r>
        <w:rPr>
          <w:color w:val="231F20"/>
          <w:spacing w:val="40"/>
        </w:rPr>
        <w:t xml:space="preserve"> </w:t>
      </w:r>
      <w:r>
        <w:rPr>
          <w:color w:val="231F20"/>
        </w:rPr>
        <w:t>Accountancy that the licenses are active and in good standing.</w:t>
      </w:r>
    </w:p>
    <w:p w14:paraId="523DE115" w14:textId="77777777" w:rsidR="00CE5677" w:rsidRDefault="00000000">
      <w:pPr>
        <w:pStyle w:val="ListParagraph"/>
        <w:numPr>
          <w:ilvl w:val="1"/>
          <w:numId w:val="2"/>
        </w:numPr>
        <w:tabs>
          <w:tab w:val="left" w:pos="1559"/>
        </w:tabs>
        <w:ind w:left="1559" w:right="113"/>
      </w:pPr>
      <w:r>
        <w:rPr>
          <w:color w:val="231F20"/>
        </w:rPr>
        <w:t>Positive</w:t>
      </w:r>
      <w:r>
        <w:rPr>
          <w:color w:val="231F20"/>
          <w:spacing w:val="34"/>
        </w:rPr>
        <w:t xml:space="preserve"> </w:t>
      </w:r>
      <w:r>
        <w:rPr>
          <w:color w:val="231F20"/>
        </w:rPr>
        <w:t>affirmations</w:t>
      </w:r>
      <w:r>
        <w:rPr>
          <w:color w:val="231F20"/>
          <w:spacing w:val="32"/>
        </w:rPr>
        <w:t xml:space="preserve"> </w:t>
      </w:r>
      <w:r>
        <w:rPr>
          <w:color w:val="231F20"/>
        </w:rPr>
        <w:t>that</w:t>
      </w:r>
      <w:r>
        <w:rPr>
          <w:color w:val="231F20"/>
          <w:spacing w:val="35"/>
        </w:rPr>
        <w:t xml:space="preserve"> </w:t>
      </w:r>
      <w:r>
        <w:rPr>
          <w:color w:val="231F20"/>
        </w:rPr>
        <w:t>all</w:t>
      </w:r>
      <w:r>
        <w:rPr>
          <w:color w:val="231F20"/>
          <w:spacing w:val="35"/>
        </w:rPr>
        <w:t xml:space="preserve"> </w:t>
      </w:r>
      <w:r>
        <w:rPr>
          <w:color w:val="231F20"/>
        </w:rPr>
        <w:t>CPA’s</w:t>
      </w:r>
      <w:r>
        <w:rPr>
          <w:color w:val="231F20"/>
          <w:spacing w:val="34"/>
        </w:rPr>
        <w:t xml:space="preserve"> </w:t>
      </w:r>
      <w:r>
        <w:rPr>
          <w:color w:val="231F20"/>
        </w:rPr>
        <w:t>assigned</w:t>
      </w:r>
      <w:r>
        <w:rPr>
          <w:color w:val="231F20"/>
          <w:spacing w:val="34"/>
        </w:rPr>
        <w:t xml:space="preserve"> </w:t>
      </w:r>
      <w:r>
        <w:rPr>
          <w:color w:val="231F20"/>
        </w:rPr>
        <w:t>to</w:t>
      </w:r>
      <w:r>
        <w:rPr>
          <w:color w:val="231F20"/>
          <w:spacing w:val="32"/>
        </w:rPr>
        <w:t xml:space="preserve"> </w:t>
      </w:r>
      <w:r>
        <w:rPr>
          <w:color w:val="231F20"/>
        </w:rPr>
        <w:t>the</w:t>
      </w:r>
      <w:r>
        <w:rPr>
          <w:color w:val="231F20"/>
          <w:spacing w:val="32"/>
        </w:rPr>
        <w:t xml:space="preserve"> </w:t>
      </w:r>
      <w:r>
        <w:rPr>
          <w:color w:val="231F20"/>
        </w:rPr>
        <w:t>engagement</w:t>
      </w:r>
      <w:r>
        <w:rPr>
          <w:color w:val="231F20"/>
          <w:spacing w:val="35"/>
        </w:rPr>
        <w:t xml:space="preserve"> </w:t>
      </w:r>
      <w:r>
        <w:rPr>
          <w:color w:val="231F20"/>
        </w:rPr>
        <w:t>have</w:t>
      </w:r>
      <w:r>
        <w:rPr>
          <w:color w:val="231F20"/>
          <w:spacing w:val="34"/>
        </w:rPr>
        <w:t xml:space="preserve"> </w:t>
      </w:r>
      <w:r>
        <w:rPr>
          <w:color w:val="231F20"/>
        </w:rPr>
        <w:t>properly</w:t>
      </w:r>
      <w:r>
        <w:rPr>
          <w:color w:val="231F20"/>
          <w:spacing w:val="34"/>
        </w:rPr>
        <w:t xml:space="preserve"> </w:t>
      </w:r>
      <w:r>
        <w:rPr>
          <w:color w:val="231F20"/>
        </w:rPr>
        <w:t>maintained</w:t>
      </w:r>
      <w:r>
        <w:rPr>
          <w:color w:val="231F20"/>
          <w:spacing w:val="34"/>
        </w:rPr>
        <w:t xml:space="preserve"> </w:t>
      </w:r>
      <w:r>
        <w:rPr>
          <w:color w:val="231F20"/>
        </w:rPr>
        <w:t>continuing professional education requirements.</w:t>
      </w:r>
    </w:p>
    <w:p w14:paraId="2AF0D439" w14:textId="77777777" w:rsidR="00CE5677" w:rsidRDefault="00000000">
      <w:pPr>
        <w:pStyle w:val="ListParagraph"/>
        <w:numPr>
          <w:ilvl w:val="1"/>
          <w:numId w:val="2"/>
        </w:numPr>
        <w:tabs>
          <w:tab w:val="left" w:pos="1558"/>
        </w:tabs>
        <w:ind w:left="1558" w:hanging="358"/>
      </w:pPr>
      <w:r>
        <w:rPr>
          <w:color w:val="231F20"/>
        </w:rPr>
        <w:t>Positive</w:t>
      </w:r>
      <w:r>
        <w:rPr>
          <w:color w:val="231F20"/>
          <w:spacing w:val="-6"/>
        </w:rPr>
        <w:t xml:space="preserve"> </w:t>
      </w:r>
      <w:r>
        <w:rPr>
          <w:color w:val="231F20"/>
        </w:rPr>
        <w:t>affirmations</w:t>
      </w:r>
      <w:r>
        <w:rPr>
          <w:color w:val="231F20"/>
          <w:spacing w:val="-4"/>
        </w:rPr>
        <w:t xml:space="preserve"> </w:t>
      </w:r>
      <w:r>
        <w:rPr>
          <w:color w:val="231F20"/>
        </w:rPr>
        <w:t>that</w:t>
      </w:r>
      <w:r>
        <w:rPr>
          <w:color w:val="231F20"/>
          <w:spacing w:val="-6"/>
        </w:rPr>
        <w:t xml:space="preserve"> </w:t>
      </w:r>
      <w:r>
        <w:rPr>
          <w:color w:val="231F20"/>
        </w:rPr>
        <w:t>all</w:t>
      </w:r>
      <w:r>
        <w:rPr>
          <w:color w:val="231F20"/>
          <w:spacing w:val="-3"/>
        </w:rPr>
        <w:t xml:space="preserve"> </w:t>
      </w:r>
      <w:r>
        <w:rPr>
          <w:color w:val="231F20"/>
        </w:rPr>
        <w:t>independence</w:t>
      </w:r>
      <w:r>
        <w:rPr>
          <w:color w:val="231F20"/>
          <w:spacing w:val="-3"/>
        </w:rPr>
        <w:t xml:space="preserve"> </w:t>
      </w:r>
      <w:r>
        <w:rPr>
          <w:color w:val="231F20"/>
        </w:rPr>
        <w:t>standards</w:t>
      </w:r>
      <w:r>
        <w:rPr>
          <w:color w:val="231F20"/>
          <w:spacing w:val="-4"/>
        </w:rPr>
        <w:t xml:space="preserve"> </w:t>
      </w:r>
      <w:r>
        <w:rPr>
          <w:color w:val="231F20"/>
        </w:rPr>
        <w:t>have</w:t>
      </w:r>
      <w:r>
        <w:rPr>
          <w:color w:val="231F20"/>
          <w:spacing w:val="-4"/>
        </w:rPr>
        <w:t xml:space="preserve"> </w:t>
      </w:r>
      <w:r>
        <w:rPr>
          <w:color w:val="231F20"/>
        </w:rPr>
        <w:t>been</w:t>
      </w:r>
      <w:r>
        <w:rPr>
          <w:color w:val="231F20"/>
          <w:spacing w:val="-4"/>
        </w:rPr>
        <w:t xml:space="preserve"> </w:t>
      </w:r>
      <w:r>
        <w:rPr>
          <w:color w:val="231F20"/>
        </w:rPr>
        <w:t>met</w:t>
      </w:r>
      <w:r>
        <w:rPr>
          <w:color w:val="231F20"/>
          <w:spacing w:val="-3"/>
        </w:rPr>
        <w:t xml:space="preserve"> </w:t>
      </w:r>
      <w:r>
        <w:rPr>
          <w:color w:val="231F20"/>
        </w:rPr>
        <w:t>as</w:t>
      </w:r>
      <w:r>
        <w:rPr>
          <w:color w:val="231F20"/>
          <w:spacing w:val="-5"/>
        </w:rPr>
        <w:t xml:space="preserve"> </w:t>
      </w:r>
      <w:r>
        <w:rPr>
          <w:color w:val="231F20"/>
          <w:spacing w:val="-2"/>
        </w:rPr>
        <w:t>required.</w:t>
      </w:r>
    </w:p>
    <w:p w14:paraId="740A5044" w14:textId="77777777" w:rsidR="00CE5677" w:rsidRDefault="00000000">
      <w:pPr>
        <w:pStyle w:val="ListParagraph"/>
        <w:numPr>
          <w:ilvl w:val="1"/>
          <w:numId w:val="2"/>
        </w:numPr>
        <w:tabs>
          <w:tab w:val="left" w:pos="1559"/>
        </w:tabs>
        <w:ind w:left="1559" w:right="118"/>
        <w:jc w:val="both"/>
      </w:pPr>
      <w:r>
        <w:rPr>
          <w:color w:val="231F20"/>
        </w:rPr>
        <w:t>Copy of the most recent external quality control review (peer review) and a certification that your firm is licensed to perform audits in North Carolina.</w:t>
      </w:r>
    </w:p>
    <w:p w14:paraId="4AB63E6F" w14:textId="77777777" w:rsidR="00CE5677" w:rsidRDefault="00000000">
      <w:pPr>
        <w:pStyle w:val="ListParagraph"/>
        <w:numPr>
          <w:ilvl w:val="1"/>
          <w:numId w:val="2"/>
        </w:numPr>
        <w:tabs>
          <w:tab w:val="left" w:pos="1557"/>
          <w:tab w:val="left" w:pos="1559"/>
        </w:tabs>
        <w:ind w:left="1559" w:right="116" w:hanging="361"/>
        <w:jc w:val="both"/>
      </w:pPr>
      <w:r>
        <w:rPr>
          <w:color w:val="231F20"/>
        </w:rPr>
        <w:t>Circumstances and status of any disciplinary actions taken or pending against the firm or any partners or employees of the firm by any State or Federal regulatory bodies or professional organizations. Please indicate any</w:t>
      </w:r>
      <w:r>
        <w:rPr>
          <w:color w:val="231F20"/>
          <w:spacing w:val="-2"/>
        </w:rPr>
        <w:t xml:space="preserve"> </w:t>
      </w:r>
      <w:r>
        <w:rPr>
          <w:color w:val="231F20"/>
        </w:rPr>
        <w:t>pending</w:t>
      </w:r>
      <w:r>
        <w:rPr>
          <w:color w:val="231F20"/>
          <w:spacing w:val="-2"/>
        </w:rPr>
        <w:t xml:space="preserve"> </w:t>
      </w:r>
      <w:r>
        <w:rPr>
          <w:color w:val="231F20"/>
        </w:rPr>
        <w:t>litigation or other factors</w:t>
      </w:r>
      <w:r>
        <w:rPr>
          <w:color w:val="231F20"/>
          <w:spacing w:val="-2"/>
        </w:rPr>
        <w:t xml:space="preserve"> </w:t>
      </w:r>
      <w:r>
        <w:rPr>
          <w:color w:val="231F20"/>
        </w:rPr>
        <w:t>that could affect your organization’s ability</w:t>
      </w:r>
      <w:r>
        <w:rPr>
          <w:color w:val="231F20"/>
          <w:spacing w:val="-2"/>
        </w:rPr>
        <w:t xml:space="preserve"> </w:t>
      </w:r>
      <w:r>
        <w:rPr>
          <w:color w:val="231F20"/>
        </w:rPr>
        <w:t>to perform</w:t>
      </w:r>
      <w:r>
        <w:rPr>
          <w:color w:val="231F20"/>
          <w:spacing w:val="-3"/>
        </w:rPr>
        <w:t xml:space="preserve"> </w:t>
      </w:r>
      <w:r>
        <w:rPr>
          <w:color w:val="231F20"/>
        </w:rPr>
        <w:t xml:space="preserve">this </w:t>
      </w:r>
      <w:r>
        <w:rPr>
          <w:color w:val="231F20"/>
          <w:spacing w:val="-2"/>
        </w:rPr>
        <w:t>contract.</w:t>
      </w:r>
    </w:p>
    <w:p w14:paraId="4C85FA5F" w14:textId="77777777" w:rsidR="00CE5677" w:rsidRDefault="00000000">
      <w:pPr>
        <w:pStyle w:val="ListParagraph"/>
        <w:numPr>
          <w:ilvl w:val="1"/>
          <w:numId w:val="2"/>
        </w:numPr>
        <w:tabs>
          <w:tab w:val="left" w:pos="1558"/>
        </w:tabs>
        <w:spacing w:line="252" w:lineRule="exact"/>
        <w:ind w:left="1558" w:hanging="359"/>
        <w:jc w:val="both"/>
      </w:pPr>
      <w:r>
        <w:rPr>
          <w:color w:val="231F20"/>
        </w:rPr>
        <w:t>A</w:t>
      </w:r>
      <w:r>
        <w:rPr>
          <w:color w:val="231F20"/>
          <w:spacing w:val="-3"/>
        </w:rPr>
        <w:t xml:space="preserve"> </w:t>
      </w:r>
      <w:r>
        <w:rPr>
          <w:color w:val="231F20"/>
        </w:rPr>
        <w:t>brief description</w:t>
      </w:r>
      <w:r>
        <w:rPr>
          <w:color w:val="231F20"/>
          <w:spacing w:val="-2"/>
        </w:rPr>
        <w:t xml:space="preserve"> </w:t>
      </w:r>
      <w:r>
        <w:rPr>
          <w:color w:val="231F20"/>
        </w:rPr>
        <w:t>of</w:t>
      </w:r>
      <w:r>
        <w:rPr>
          <w:color w:val="231F20"/>
          <w:spacing w:val="-3"/>
        </w:rPr>
        <w:t xml:space="preserve"> </w:t>
      </w:r>
      <w:r>
        <w:rPr>
          <w:color w:val="231F20"/>
        </w:rPr>
        <w:t>the</w:t>
      </w:r>
      <w:r>
        <w:rPr>
          <w:color w:val="231F20"/>
          <w:spacing w:val="-4"/>
        </w:rPr>
        <w:t xml:space="preserve"> </w:t>
      </w:r>
      <w:r>
        <w:rPr>
          <w:color w:val="231F20"/>
        </w:rPr>
        <w:t>audit</w:t>
      </w:r>
      <w:r>
        <w:rPr>
          <w:color w:val="231F20"/>
          <w:spacing w:val="-3"/>
        </w:rPr>
        <w:t xml:space="preserve"> </w:t>
      </w:r>
      <w:r>
        <w:rPr>
          <w:color w:val="231F20"/>
        </w:rPr>
        <w:t>procedures</w:t>
      </w:r>
      <w:r>
        <w:rPr>
          <w:color w:val="231F20"/>
          <w:spacing w:val="-4"/>
        </w:rPr>
        <w:t xml:space="preserve"> </w:t>
      </w:r>
      <w:r>
        <w:rPr>
          <w:color w:val="231F20"/>
        </w:rPr>
        <w:t>to</w:t>
      </w:r>
      <w:r>
        <w:rPr>
          <w:color w:val="231F20"/>
          <w:spacing w:val="-1"/>
        </w:rPr>
        <w:t xml:space="preserve"> </w:t>
      </w:r>
      <w:r>
        <w:rPr>
          <w:color w:val="231F20"/>
        </w:rPr>
        <w:t>be</w:t>
      </w:r>
      <w:r>
        <w:rPr>
          <w:color w:val="231F20"/>
          <w:spacing w:val="-1"/>
        </w:rPr>
        <w:t xml:space="preserve"> </w:t>
      </w:r>
      <w:r>
        <w:rPr>
          <w:color w:val="231F20"/>
          <w:spacing w:val="-2"/>
        </w:rPr>
        <w:t>followed.</w:t>
      </w:r>
    </w:p>
    <w:p w14:paraId="4AE2E461" w14:textId="77777777" w:rsidR="00CE5677" w:rsidRDefault="00000000">
      <w:pPr>
        <w:pStyle w:val="ListParagraph"/>
        <w:numPr>
          <w:ilvl w:val="1"/>
          <w:numId w:val="2"/>
        </w:numPr>
        <w:tabs>
          <w:tab w:val="left" w:pos="1558"/>
        </w:tabs>
        <w:spacing w:line="252" w:lineRule="exact"/>
        <w:ind w:left="1558" w:hanging="358"/>
        <w:jc w:val="both"/>
      </w:pPr>
      <w:r>
        <w:rPr>
          <w:color w:val="231F20"/>
        </w:rPr>
        <w:t>A</w:t>
      </w:r>
      <w:r>
        <w:rPr>
          <w:color w:val="231F20"/>
          <w:spacing w:val="-4"/>
        </w:rPr>
        <w:t xml:space="preserve"> </w:t>
      </w:r>
      <w:r>
        <w:rPr>
          <w:color w:val="231F20"/>
        </w:rPr>
        <w:t>tentative</w:t>
      </w:r>
      <w:r>
        <w:rPr>
          <w:color w:val="231F20"/>
          <w:spacing w:val="-2"/>
        </w:rPr>
        <w:t xml:space="preserve"> </w:t>
      </w:r>
      <w:r>
        <w:rPr>
          <w:color w:val="231F20"/>
        </w:rPr>
        <w:t>schedule</w:t>
      </w:r>
      <w:r>
        <w:rPr>
          <w:color w:val="231F20"/>
          <w:spacing w:val="-3"/>
        </w:rPr>
        <w:t xml:space="preserve"> </w:t>
      </w:r>
      <w:r>
        <w:rPr>
          <w:color w:val="231F20"/>
        </w:rPr>
        <w:t>for</w:t>
      </w:r>
      <w:r>
        <w:rPr>
          <w:color w:val="231F20"/>
          <w:spacing w:val="-1"/>
        </w:rPr>
        <w:t xml:space="preserve"> </w:t>
      </w:r>
      <w:r>
        <w:rPr>
          <w:color w:val="231F20"/>
        </w:rPr>
        <w:t>performing</w:t>
      </w:r>
      <w:r>
        <w:rPr>
          <w:color w:val="231F20"/>
          <w:spacing w:val="-4"/>
        </w:rPr>
        <w:t xml:space="preserve"> </w:t>
      </w:r>
      <w:r>
        <w:rPr>
          <w:color w:val="231F20"/>
        </w:rPr>
        <w:t>key</w:t>
      </w:r>
      <w:r>
        <w:rPr>
          <w:color w:val="231F20"/>
          <w:spacing w:val="-5"/>
        </w:rPr>
        <w:t xml:space="preserve"> </w:t>
      </w:r>
      <w:r>
        <w:rPr>
          <w:color w:val="231F20"/>
        </w:rPr>
        <w:t>aspects</w:t>
      </w:r>
      <w:r>
        <w:rPr>
          <w:color w:val="231F20"/>
          <w:spacing w:val="-2"/>
        </w:rPr>
        <w:t xml:space="preserve"> </w:t>
      </w:r>
      <w:r>
        <w:rPr>
          <w:color w:val="231F20"/>
        </w:rPr>
        <w:t>of</w:t>
      </w:r>
      <w:r>
        <w:rPr>
          <w:color w:val="231F20"/>
          <w:spacing w:val="-4"/>
        </w:rPr>
        <w:t xml:space="preserve"> </w:t>
      </w:r>
      <w:r>
        <w:rPr>
          <w:color w:val="231F20"/>
        </w:rPr>
        <w:t>the</w:t>
      </w:r>
      <w:r>
        <w:rPr>
          <w:color w:val="231F20"/>
          <w:spacing w:val="-4"/>
        </w:rPr>
        <w:t xml:space="preserve"> </w:t>
      </w:r>
      <w:r>
        <w:rPr>
          <w:color w:val="231F20"/>
          <w:spacing w:val="-2"/>
        </w:rPr>
        <w:t>audit.</w:t>
      </w:r>
    </w:p>
    <w:p w14:paraId="7D603D38" w14:textId="77777777" w:rsidR="00CE5677" w:rsidRDefault="00000000">
      <w:pPr>
        <w:pStyle w:val="ListParagraph"/>
        <w:numPr>
          <w:ilvl w:val="1"/>
          <w:numId w:val="2"/>
        </w:numPr>
        <w:tabs>
          <w:tab w:val="left" w:pos="1559"/>
        </w:tabs>
        <w:ind w:left="1559" w:right="115"/>
        <w:jc w:val="both"/>
      </w:pPr>
      <w:r>
        <w:rPr>
          <w:color w:val="231F20"/>
        </w:rPr>
        <w:t>A fee schedule for the complete audit with a breakdown of the estimated hours by each level of staff and the rate per hour as well as the anticipated expenses to be charged. Please include a fee breakdown for each major program and for each year of the proposal.</w:t>
      </w:r>
    </w:p>
    <w:p w14:paraId="70198155" w14:textId="77777777" w:rsidR="00CE5677" w:rsidRDefault="00000000">
      <w:pPr>
        <w:pStyle w:val="ListParagraph"/>
        <w:numPr>
          <w:ilvl w:val="1"/>
          <w:numId w:val="2"/>
        </w:numPr>
        <w:tabs>
          <w:tab w:val="left" w:pos="1557"/>
          <w:tab w:val="left" w:pos="1560"/>
        </w:tabs>
        <w:ind w:right="116" w:hanging="361"/>
        <w:jc w:val="both"/>
      </w:pPr>
      <w:r>
        <w:rPr>
          <w:color w:val="231F20"/>
        </w:rPr>
        <w:t>One single hourly rate to be used for any additional work that may be requested by the Authority that is outside the scope of this contract.</w:t>
      </w:r>
    </w:p>
    <w:p w14:paraId="1D837A9D" w14:textId="77777777" w:rsidR="00CE5677" w:rsidRDefault="00000000">
      <w:pPr>
        <w:pStyle w:val="ListParagraph"/>
        <w:numPr>
          <w:ilvl w:val="1"/>
          <w:numId w:val="2"/>
        </w:numPr>
        <w:tabs>
          <w:tab w:val="left" w:pos="1560"/>
        </w:tabs>
        <w:ind w:right="116"/>
        <w:jc w:val="both"/>
      </w:pPr>
      <w:r>
        <w:rPr>
          <w:color w:val="231F20"/>
        </w:rPr>
        <w:t>A</w:t>
      </w:r>
      <w:r>
        <w:rPr>
          <w:color w:val="231F20"/>
          <w:spacing w:val="-2"/>
        </w:rPr>
        <w:t xml:space="preserve"> </w:t>
      </w:r>
      <w:r>
        <w:rPr>
          <w:color w:val="231F20"/>
        </w:rPr>
        <w:t>description</w:t>
      </w:r>
      <w:r>
        <w:rPr>
          <w:color w:val="231F20"/>
          <w:spacing w:val="-1"/>
        </w:rPr>
        <w:t xml:space="preserve"> </w:t>
      </w:r>
      <w:r>
        <w:rPr>
          <w:color w:val="231F20"/>
        </w:rPr>
        <w:t>of insurance</w:t>
      </w:r>
      <w:r>
        <w:rPr>
          <w:color w:val="231F20"/>
          <w:spacing w:val="-1"/>
        </w:rPr>
        <w:t xml:space="preserve"> </w:t>
      </w:r>
      <w:r>
        <w:rPr>
          <w:color w:val="231F20"/>
        </w:rPr>
        <w:t>coverage maintained</w:t>
      </w:r>
      <w:r>
        <w:rPr>
          <w:color w:val="231F20"/>
          <w:spacing w:val="-1"/>
        </w:rPr>
        <w:t xml:space="preserve"> </w:t>
      </w:r>
      <w:r>
        <w:rPr>
          <w:color w:val="231F20"/>
        </w:rPr>
        <w:t>by</w:t>
      </w:r>
      <w:r>
        <w:rPr>
          <w:color w:val="231F20"/>
          <w:spacing w:val="-3"/>
        </w:rPr>
        <w:t xml:space="preserve"> </w:t>
      </w:r>
      <w:r>
        <w:rPr>
          <w:color w:val="231F20"/>
        </w:rPr>
        <w:t>the</w:t>
      </w:r>
      <w:r>
        <w:rPr>
          <w:color w:val="231F20"/>
          <w:spacing w:val="-3"/>
        </w:rPr>
        <w:t xml:space="preserve"> </w:t>
      </w:r>
      <w:r>
        <w:rPr>
          <w:color w:val="231F20"/>
        </w:rPr>
        <w:t>firm.</w:t>
      </w:r>
      <w:r>
        <w:rPr>
          <w:color w:val="231F20"/>
          <w:spacing w:val="-1"/>
        </w:rPr>
        <w:t xml:space="preserve"> </w:t>
      </w:r>
      <w:r>
        <w:rPr>
          <w:color w:val="231F20"/>
        </w:rPr>
        <w:t>Please</w:t>
      </w:r>
      <w:r>
        <w:rPr>
          <w:color w:val="231F20"/>
          <w:spacing w:val="-1"/>
        </w:rPr>
        <w:t xml:space="preserve"> </w:t>
      </w:r>
      <w:r>
        <w:rPr>
          <w:color w:val="231F20"/>
        </w:rPr>
        <w:t>provide</w:t>
      </w:r>
      <w:r>
        <w:rPr>
          <w:color w:val="231F20"/>
          <w:spacing w:val="-1"/>
        </w:rPr>
        <w:t xml:space="preserve"> </w:t>
      </w:r>
      <w:r>
        <w:rPr>
          <w:color w:val="231F20"/>
        </w:rPr>
        <w:t>a</w:t>
      </w:r>
      <w:r>
        <w:rPr>
          <w:color w:val="231F20"/>
          <w:spacing w:val="-1"/>
        </w:rPr>
        <w:t xml:space="preserve"> </w:t>
      </w:r>
      <w:r>
        <w:rPr>
          <w:color w:val="231F20"/>
        </w:rPr>
        <w:t>copy</w:t>
      </w:r>
      <w:r>
        <w:rPr>
          <w:color w:val="231F20"/>
          <w:spacing w:val="-3"/>
        </w:rPr>
        <w:t xml:space="preserve"> </w:t>
      </w:r>
      <w:r>
        <w:rPr>
          <w:color w:val="231F20"/>
        </w:rPr>
        <w:t>of the</w:t>
      </w:r>
      <w:r>
        <w:rPr>
          <w:color w:val="231F20"/>
          <w:spacing w:val="-1"/>
        </w:rPr>
        <w:t xml:space="preserve"> </w:t>
      </w:r>
      <w:r>
        <w:rPr>
          <w:color w:val="231F20"/>
        </w:rPr>
        <w:t>declaration</w:t>
      </w:r>
      <w:r>
        <w:rPr>
          <w:color w:val="231F20"/>
          <w:spacing w:val="-1"/>
        </w:rPr>
        <w:t xml:space="preserve"> </w:t>
      </w:r>
      <w:r>
        <w:rPr>
          <w:color w:val="231F20"/>
        </w:rPr>
        <w:t>page from current policies for Worker’s Compensation, General Commercial Liability, and Professional Liability, Malpractice, and Errors and Omissions insurance coverage.</w:t>
      </w:r>
    </w:p>
    <w:p w14:paraId="58039FB1" w14:textId="77777777" w:rsidR="00CE5677" w:rsidRDefault="00000000">
      <w:pPr>
        <w:pStyle w:val="ListParagraph"/>
        <w:numPr>
          <w:ilvl w:val="1"/>
          <w:numId w:val="2"/>
        </w:numPr>
        <w:tabs>
          <w:tab w:val="left" w:pos="1558"/>
        </w:tabs>
        <w:spacing w:line="252" w:lineRule="exact"/>
        <w:ind w:left="1558" w:hanging="359"/>
        <w:jc w:val="both"/>
      </w:pPr>
      <w:r>
        <w:rPr>
          <w:color w:val="231F20"/>
        </w:rPr>
        <w:t>Certification</w:t>
      </w:r>
      <w:r>
        <w:rPr>
          <w:color w:val="231F20"/>
          <w:spacing w:val="-3"/>
        </w:rPr>
        <w:t xml:space="preserve"> </w:t>
      </w:r>
      <w:r>
        <w:rPr>
          <w:color w:val="231F20"/>
        </w:rPr>
        <w:t>that</w:t>
      </w:r>
      <w:r>
        <w:rPr>
          <w:color w:val="231F20"/>
          <w:spacing w:val="-2"/>
        </w:rPr>
        <w:t xml:space="preserve"> </w:t>
      </w:r>
      <w:r>
        <w:rPr>
          <w:color w:val="231F20"/>
        </w:rPr>
        <w:t>your</w:t>
      </w:r>
      <w:r>
        <w:rPr>
          <w:color w:val="231F20"/>
          <w:spacing w:val="-4"/>
        </w:rPr>
        <w:t xml:space="preserve"> </w:t>
      </w:r>
      <w:r>
        <w:rPr>
          <w:color w:val="231F20"/>
        </w:rPr>
        <w:t>firm</w:t>
      </w:r>
      <w:r>
        <w:rPr>
          <w:color w:val="231F20"/>
          <w:spacing w:val="-6"/>
        </w:rPr>
        <w:t xml:space="preserve"> </w:t>
      </w:r>
      <w:r>
        <w:rPr>
          <w:color w:val="231F20"/>
        </w:rPr>
        <w:t>is</w:t>
      </w:r>
      <w:r>
        <w:rPr>
          <w:color w:val="231F20"/>
          <w:spacing w:val="-3"/>
        </w:rPr>
        <w:t xml:space="preserve"> </w:t>
      </w:r>
      <w:r>
        <w:rPr>
          <w:color w:val="231F20"/>
        </w:rPr>
        <w:t>in</w:t>
      </w:r>
      <w:r>
        <w:rPr>
          <w:color w:val="231F20"/>
          <w:spacing w:val="-2"/>
        </w:rPr>
        <w:t xml:space="preserve"> </w:t>
      </w:r>
      <w:r>
        <w:rPr>
          <w:color w:val="231F20"/>
        </w:rPr>
        <w:t>compliance</w:t>
      </w:r>
      <w:r>
        <w:rPr>
          <w:color w:val="231F20"/>
          <w:spacing w:val="-3"/>
        </w:rPr>
        <w:t xml:space="preserve"> </w:t>
      </w:r>
      <w:r>
        <w:rPr>
          <w:color w:val="231F20"/>
        </w:rPr>
        <w:t>with</w:t>
      </w:r>
      <w:r>
        <w:rPr>
          <w:color w:val="231F20"/>
          <w:spacing w:val="-4"/>
        </w:rPr>
        <w:t xml:space="preserve"> </w:t>
      </w:r>
      <w:r>
        <w:rPr>
          <w:color w:val="231F20"/>
        </w:rPr>
        <w:t>the</w:t>
      </w:r>
      <w:r>
        <w:rPr>
          <w:color w:val="231F20"/>
          <w:spacing w:val="-3"/>
        </w:rPr>
        <w:t xml:space="preserve"> </w:t>
      </w:r>
      <w:r>
        <w:rPr>
          <w:color w:val="231F20"/>
        </w:rPr>
        <w:t>Equal</w:t>
      </w:r>
      <w:r>
        <w:rPr>
          <w:color w:val="231F20"/>
          <w:spacing w:val="-1"/>
        </w:rPr>
        <w:t xml:space="preserve"> </w:t>
      </w:r>
      <w:r>
        <w:rPr>
          <w:color w:val="231F20"/>
        </w:rPr>
        <w:t>Employment</w:t>
      </w:r>
      <w:r>
        <w:rPr>
          <w:color w:val="231F20"/>
          <w:spacing w:val="-2"/>
        </w:rPr>
        <w:t xml:space="preserve"> </w:t>
      </w:r>
      <w:r>
        <w:rPr>
          <w:color w:val="231F20"/>
        </w:rPr>
        <w:t>Opportunity</w:t>
      </w:r>
      <w:r>
        <w:rPr>
          <w:color w:val="231F20"/>
          <w:spacing w:val="-4"/>
        </w:rPr>
        <w:t xml:space="preserve"> </w:t>
      </w:r>
      <w:r>
        <w:rPr>
          <w:color w:val="231F20"/>
          <w:spacing w:val="-2"/>
        </w:rPr>
        <w:t>requirements.</w:t>
      </w:r>
    </w:p>
    <w:p w14:paraId="1E122E28" w14:textId="77777777" w:rsidR="00CE5677" w:rsidRDefault="00CE5677">
      <w:pPr>
        <w:pStyle w:val="BodyText"/>
      </w:pPr>
    </w:p>
    <w:p w14:paraId="3A817ABD" w14:textId="77777777" w:rsidR="00CE5677" w:rsidRDefault="00000000">
      <w:pPr>
        <w:pStyle w:val="BodyText"/>
        <w:spacing w:before="1"/>
        <w:ind w:left="119" w:right="115"/>
        <w:jc w:val="both"/>
      </w:pPr>
      <w:r>
        <w:rPr>
          <w:color w:val="231F20"/>
        </w:rPr>
        <w:t>All necessary</w:t>
      </w:r>
      <w:r>
        <w:rPr>
          <w:color w:val="231F20"/>
          <w:spacing w:val="-2"/>
        </w:rPr>
        <w:t xml:space="preserve"> </w:t>
      </w:r>
      <w:r>
        <w:rPr>
          <w:color w:val="231F20"/>
        </w:rPr>
        <w:t>staff</w:t>
      </w:r>
      <w:r>
        <w:rPr>
          <w:color w:val="231F20"/>
          <w:spacing w:val="-1"/>
        </w:rPr>
        <w:t xml:space="preserve"> </w:t>
      </w:r>
      <w:r>
        <w:rPr>
          <w:color w:val="231F20"/>
        </w:rPr>
        <w:t>will</w:t>
      </w:r>
      <w:r>
        <w:rPr>
          <w:color w:val="231F20"/>
          <w:spacing w:val="-1"/>
        </w:rPr>
        <w:t xml:space="preserve"> </w:t>
      </w:r>
      <w:r>
        <w:rPr>
          <w:color w:val="231F20"/>
        </w:rPr>
        <w:t>be</w:t>
      </w:r>
      <w:r>
        <w:rPr>
          <w:color w:val="231F20"/>
          <w:spacing w:val="-2"/>
        </w:rPr>
        <w:t xml:space="preserve"> </w:t>
      </w:r>
      <w:r>
        <w:rPr>
          <w:color w:val="231F20"/>
        </w:rPr>
        <w:t>provided</w:t>
      </w:r>
      <w:r>
        <w:rPr>
          <w:color w:val="231F20"/>
          <w:spacing w:val="-2"/>
        </w:rPr>
        <w:t xml:space="preserve"> </w:t>
      </w:r>
      <w:r>
        <w:rPr>
          <w:color w:val="231F20"/>
        </w:rPr>
        <w:t>to</w:t>
      </w:r>
      <w:r>
        <w:rPr>
          <w:color w:val="231F20"/>
          <w:spacing w:val="-2"/>
        </w:rPr>
        <w:t xml:space="preserve"> </w:t>
      </w:r>
      <w:r>
        <w:rPr>
          <w:color w:val="231F20"/>
        </w:rPr>
        <w:t>assist</w:t>
      </w:r>
      <w:r>
        <w:rPr>
          <w:color w:val="231F20"/>
          <w:spacing w:val="-1"/>
        </w:rPr>
        <w:t xml:space="preserve"> </w:t>
      </w:r>
      <w:r>
        <w:rPr>
          <w:color w:val="231F20"/>
        </w:rPr>
        <w:t>the</w:t>
      </w:r>
      <w:r>
        <w:rPr>
          <w:color w:val="231F20"/>
          <w:spacing w:val="-2"/>
        </w:rPr>
        <w:t xml:space="preserve"> </w:t>
      </w:r>
      <w:r>
        <w:rPr>
          <w:color w:val="231F20"/>
        </w:rPr>
        <w:t>auditors with</w:t>
      </w:r>
      <w:r>
        <w:rPr>
          <w:color w:val="231F20"/>
          <w:spacing w:val="-2"/>
        </w:rPr>
        <w:t xml:space="preserve"> </w:t>
      </w:r>
      <w:r>
        <w:rPr>
          <w:color w:val="231F20"/>
        </w:rPr>
        <w:t>the completion of</w:t>
      </w:r>
      <w:r>
        <w:rPr>
          <w:color w:val="231F20"/>
          <w:spacing w:val="-1"/>
        </w:rPr>
        <w:t xml:space="preserve"> </w:t>
      </w:r>
      <w:r>
        <w:rPr>
          <w:color w:val="231F20"/>
        </w:rPr>
        <w:t>the audit. Please provide</w:t>
      </w:r>
      <w:r>
        <w:rPr>
          <w:color w:val="231F20"/>
          <w:spacing w:val="-2"/>
        </w:rPr>
        <w:t xml:space="preserve"> </w:t>
      </w:r>
      <w:r>
        <w:rPr>
          <w:color w:val="231F20"/>
        </w:rPr>
        <w:t>a</w:t>
      </w:r>
      <w:r>
        <w:rPr>
          <w:color w:val="231F20"/>
          <w:spacing w:val="-2"/>
        </w:rPr>
        <w:t xml:space="preserve"> </w:t>
      </w:r>
      <w:r>
        <w:rPr>
          <w:color w:val="231F20"/>
        </w:rPr>
        <w:t>statement as</w:t>
      </w:r>
      <w:r>
        <w:rPr>
          <w:color w:val="231F20"/>
          <w:spacing w:val="-2"/>
        </w:rPr>
        <w:t xml:space="preserve"> </w:t>
      </w:r>
      <w:r>
        <w:rPr>
          <w:color w:val="231F20"/>
        </w:rPr>
        <w:t>to the amount of assistance that your firm will expect from the Greenville Housing Authority staff as well as a detailed statement of the services to be provided to GHA.</w:t>
      </w:r>
    </w:p>
    <w:p w14:paraId="144E8612" w14:textId="77777777" w:rsidR="00CE5677" w:rsidRDefault="00CE5677">
      <w:pPr>
        <w:pStyle w:val="BodyText"/>
      </w:pPr>
    </w:p>
    <w:p w14:paraId="237A191D" w14:textId="77777777" w:rsidR="00CE5677" w:rsidRDefault="00000000">
      <w:pPr>
        <w:pStyle w:val="BodyText"/>
        <w:ind w:left="119" w:right="115" w:hanging="1"/>
        <w:jc w:val="both"/>
      </w:pPr>
      <w:r>
        <w:rPr>
          <w:color w:val="231F20"/>
        </w:rPr>
        <w:t>No member, officer, or delegate to the Congress of the United States of America or resident Commissioner shall be admitted to any share or part of this contract or to any benefit to arise therefrom; but this provision shall not be construed to</w:t>
      </w:r>
      <w:r>
        <w:rPr>
          <w:color w:val="231F20"/>
          <w:spacing w:val="23"/>
        </w:rPr>
        <w:t xml:space="preserve"> </w:t>
      </w:r>
      <w:r>
        <w:rPr>
          <w:color w:val="231F20"/>
        </w:rPr>
        <w:t>extend</w:t>
      </w:r>
      <w:r>
        <w:rPr>
          <w:color w:val="231F20"/>
          <w:spacing w:val="23"/>
        </w:rPr>
        <w:t xml:space="preserve"> </w:t>
      </w:r>
      <w:r>
        <w:rPr>
          <w:color w:val="231F20"/>
        </w:rPr>
        <w:t>to</w:t>
      </w:r>
      <w:r>
        <w:rPr>
          <w:color w:val="231F20"/>
          <w:spacing w:val="21"/>
        </w:rPr>
        <w:t xml:space="preserve"> </w:t>
      </w:r>
      <w:r>
        <w:rPr>
          <w:color w:val="231F20"/>
        </w:rPr>
        <w:t>this</w:t>
      </w:r>
      <w:r>
        <w:rPr>
          <w:color w:val="231F20"/>
          <w:spacing w:val="21"/>
        </w:rPr>
        <w:t xml:space="preserve"> </w:t>
      </w:r>
      <w:r>
        <w:rPr>
          <w:color w:val="231F20"/>
        </w:rPr>
        <w:t>contract</w:t>
      </w:r>
      <w:r>
        <w:rPr>
          <w:color w:val="231F20"/>
          <w:spacing w:val="21"/>
        </w:rPr>
        <w:t xml:space="preserve"> </w:t>
      </w:r>
      <w:r>
        <w:rPr>
          <w:color w:val="231F20"/>
        </w:rPr>
        <w:t>if</w:t>
      </w:r>
      <w:r>
        <w:rPr>
          <w:color w:val="231F20"/>
          <w:spacing w:val="24"/>
        </w:rPr>
        <w:t xml:space="preserve"> </w:t>
      </w:r>
      <w:r>
        <w:rPr>
          <w:color w:val="231F20"/>
        </w:rPr>
        <w:t>made</w:t>
      </w:r>
      <w:r>
        <w:rPr>
          <w:color w:val="231F20"/>
          <w:spacing w:val="23"/>
        </w:rPr>
        <w:t xml:space="preserve"> </w:t>
      </w:r>
      <w:r>
        <w:rPr>
          <w:color w:val="231F20"/>
        </w:rPr>
        <w:t>with</w:t>
      </w:r>
      <w:r>
        <w:rPr>
          <w:color w:val="231F20"/>
          <w:spacing w:val="21"/>
        </w:rPr>
        <w:t xml:space="preserve"> </w:t>
      </w:r>
      <w:r>
        <w:rPr>
          <w:color w:val="231F20"/>
        </w:rPr>
        <w:t>a</w:t>
      </w:r>
      <w:r>
        <w:rPr>
          <w:color w:val="231F20"/>
          <w:spacing w:val="23"/>
        </w:rPr>
        <w:t xml:space="preserve"> </w:t>
      </w:r>
      <w:r>
        <w:rPr>
          <w:color w:val="231F20"/>
        </w:rPr>
        <w:t>corporation</w:t>
      </w:r>
      <w:r>
        <w:rPr>
          <w:color w:val="231F20"/>
          <w:spacing w:val="18"/>
        </w:rPr>
        <w:t xml:space="preserve"> </w:t>
      </w:r>
      <w:r>
        <w:rPr>
          <w:color w:val="231F20"/>
        </w:rPr>
        <w:t>for</w:t>
      </w:r>
      <w:r>
        <w:rPr>
          <w:color w:val="231F20"/>
          <w:spacing w:val="21"/>
        </w:rPr>
        <w:t xml:space="preserve"> </w:t>
      </w:r>
      <w:r>
        <w:rPr>
          <w:color w:val="231F20"/>
        </w:rPr>
        <w:t>its</w:t>
      </w:r>
      <w:r>
        <w:rPr>
          <w:color w:val="231F20"/>
          <w:spacing w:val="23"/>
        </w:rPr>
        <w:t xml:space="preserve"> </w:t>
      </w:r>
      <w:r>
        <w:rPr>
          <w:color w:val="231F20"/>
        </w:rPr>
        <w:t>general</w:t>
      </w:r>
      <w:r>
        <w:rPr>
          <w:color w:val="231F20"/>
          <w:spacing w:val="24"/>
        </w:rPr>
        <w:t xml:space="preserve"> </w:t>
      </w:r>
      <w:r>
        <w:rPr>
          <w:color w:val="231F20"/>
        </w:rPr>
        <w:t>benefit.</w:t>
      </w:r>
      <w:r>
        <w:rPr>
          <w:color w:val="231F20"/>
          <w:spacing w:val="23"/>
        </w:rPr>
        <w:t xml:space="preserve"> </w:t>
      </w:r>
      <w:r>
        <w:rPr>
          <w:color w:val="231F20"/>
        </w:rPr>
        <w:t>No</w:t>
      </w:r>
      <w:r>
        <w:rPr>
          <w:color w:val="231F20"/>
          <w:spacing w:val="21"/>
        </w:rPr>
        <w:t xml:space="preserve"> </w:t>
      </w:r>
      <w:r>
        <w:rPr>
          <w:color w:val="231F20"/>
        </w:rPr>
        <w:t>members,</w:t>
      </w:r>
      <w:r>
        <w:rPr>
          <w:color w:val="231F20"/>
          <w:spacing w:val="23"/>
        </w:rPr>
        <w:t xml:space="preserve"> </w:t>
      </w:r>
      <w:r>
        <w:rPr>
          <w:color w:val="231F20"/>
        </w:rPr>
        <w:t>officers</w:t>
      </w:r>
      <w:r>
        <w:rPr>
          <w:color w:val="231F20"/>
          <w:spacing w:val="21"/>
        </w:rPr>
        <w:t xml:space="preserve"> </w:t>
      </w:r>
      <w:r>
        <w:rPr>
          <w:color w:val="231F20"/>
        </w:rPr>
        <w:t>or</w:t>
      </w:r>
      <w:r>
        <w:rPr>
          <w:color w:val="231F20"/>
          <w:spacing w:val="21"/>
        </w:rPr>
        <w:t xml:space="preserve"> </w:t>
      </w:r>
      <w:r>
        <w:rPr>
          <w:color w:val="231F20"/>
        </w:rPr>
        <w:t>employees</w:t>
      </w:r>
      <w:r>
        <w:rPr>
          <w:color w:val="231F20"/>
          <w:spacing w:val="23"/>
        </w:rPr>
        <w:t xml:space="preserve"> </w:t>
      </w:r>
      <w:r>
        <w:rPr>
          <w:color w:val="231F20"/>
        </w:rPr>
        <w:t>of</w:t>
      </w:r>
      <w:r>
        <w:rPr>
          <w:color w:val="231F20"/>
          <w:spacing w:val="21"/>
        </w:rPr>
        <w:t xml:space="preserve"> </w:t>
      </w:r>
      <w:r>
        <w:rPr>
          <w:color w:val="231F20"/>
        </w:rPr>
        <w:t>the</w:t>
      </w:r>
    </w:p>
    <w:p w14:paraId="1E222655" w14:textId="77777777" w:rsidR="00CE5677" w:rsidRDefault="00CE5677">
      <w:pPr>
        <w:jc w:val="both"/>
        <w:sectPr w:rsidR="00CE5677">
          <w:pgSz w:w="12240" w:h="15840"/>
          <w:pgMar w:top="640" w:right="600" w:bottom="280" w:left="600" w:header="720" w:footer="720" w:gutter="0"/>
          <w:cols w:space="720"/>
        </w:sectPr>
      </w:pPr>
    </w:p>
    <w:p w14:paraId="1F255895" w14:textId="5ED42A58" w:rsidR="00CE5677" w:rsidRDefault="00000000">
      <w:pPr>
        <w:pStyle w:val="BodyText"/>
        <w:spacing w:before="73"/>
        <w:ind w:left="120" w:right="115"/>
        <w:jc w:val="both"/>
      </w:pPr>
      <w:r>
        <w:rPr>
          <w:color w:val="231F20"/>
        </w:rPr>
        <w:lastRenderedPageBreak/>
        <w:t>Authority, no member of the governing body in which the Authority was activated, and no other public official of such locality who exercise any functions or responsibilities with the respect to the project, shall during his tenure, or for one year thereafter, have an interest, direct or indirect, in this contract or the proceeds thereof.</w:t>
      </w:r>
    </w:p>
    <w:p w14:paraId="76C40D77" w14:textId="77777777" w:rsidR="00CE5677" w:rsidRDefault="00CE5677">
      <w:pPr>
        <w:pStyle w:val="BodyText"/>
        <w:spacing w:before="6"/>
      </w:pPr>
    </w:p>
    <w:p w14:paraId="5A45770E" w14:textId="77777777" w:rsidR="00CE5677" w:rsidRDefault="00000000">
      <w:pPr>
        <w:pStyle w:val="Heading1"/>
        <w:spacing w:before="0"/>
        <w:jc w:val="both"/>
      </w:pPr>
      <w:r>
        <w:rPr>
          <w:color w:val="231F20"/>
          <w:u w:val="thick" w:color="231F20"/>
        </w:rPr>
        <w:t>Evaluation</w:t>
      </w:r>
      <w:r>
        <w:rPr>
          <w:b w:val="0"/>
          <w:color w:val="231F20"/>
          <w:spacing w:val="-2"/>
          <w:u w:val="thick" w:color="231F20"/>
        </w:rPr>
        <w:t xml:space="preserve"> </w:t>
      </w:r>
      <w:r>
        <w:rPr>
          <w:color w:val="231F20"/>
          <w:spacing w:val="-2"/>
          <w:u w:val="thick" w:color="231F20"/>
        </w:rPr>
        <w:t>Criteria:</w:t>
      </w:r>
    </w:p>
    <w:p w14:paraId="35F5326C" w14:textId="77777777" w:rsidR="00CE5677" w:rsidRDefault="00000000">
      <w:pPr>
        <w:pStyle w:val="BodyText"/>
        <w:spacing w:before="246"/>
        <w:ind w:left="120"/>
        <w:jc w:val="both"/>
      </w:pPr>
      <w:r>
        <w:rPr>
          <w:color w:val="231F20"/>
        </w:rPr>
        <w:t>Audit</w:t>
      </w:r>
      <w:r>
        <w:rPr>
          <w:color w:val="231F20"/>
          <w:spacing w:val="-2"/>
        </w:rPr>
        <w:t xml:space="preserve"> </w:t>
      </w:r>
      <w:r>
        <w:rPr>
          <w:color w:val="231F20"/>
        </w:rPr>
        <w:t>proposals</w:t>
      </w:r>
      <w:r>
        <w:rPr>
          <w:color w:val="231F20"/>
          <w:spacing w:val="-3"/>
        </w:rPr>
        <w:t xml:space="preserve"> </w:t>
      </w:r>
      <w:r>
        <w:rPr>
          <w:color w:val="231F20"/>
        </w:rPr>
        <w:t>will</w:t>
      </w:r>
      <w:r>
        <w:rPr>
          <w:color w:val="231F20"/>
          <w:spacing w:val="-4"/>
        </w:rPr>
        <w:t xml:space="preserve"> </w:t>
      </w:r>
      <w:r>
        <w:rPr>
          <w:color w:val="231F20"/>
        </w:rPr>
        <w:t>be</w:t>
      </w:r>
      <w:r>
        <w:rPr>
          <w:color w:val="231F20"/>
          <w:spacing w:val="-3"/>
        </w:rPr>
        <w:t xml:space="preserve"> </w:t>
      </w:r>
      <w:r>
        <w:rPr>
          <w:color w:val="231F20"/>
        </w:rPr>
        <w:t>evaluated</w:t>
      </w:r>
      <w:r>
        <w:rPr>
          <w:color w:val="231F20"/>
          <w:spacing w:val="-2"/>
        </w:rPr>
        <w:t xml:space="preserve"> </w:t>
      </w:r>
      <w:r>
        <w:rPr>
          <w:color w:val="231F20"/>
        </w:rPr>
        <w:t>using</w:t>
      </w:r>
      <w:r>
        <w:rPr>
          <w:color w:val="231F20"/>
          <w:spacing w:val="-5"/>
        </w:rPr>
        <w:t xml:space="preserve"> </w:t>
      </w:r>
      <w:r>
        <w:rPr>
          <w:color w:val="231F20"/>
        </w:rPr>
        <w:t>the</w:t>
      </w:r>
      <w:r>
        <w:rPr>
          <w:color w:val="231F20"/>
          <w:spacing w:val="-2"/>
        </w:rPr>
        <w:t xml:space="preserve"> </w:t>
      </w:r>
      <w:r>
        <w:rPr>
          <w:color w:val="231F20"/>
        </w:rPr>
        <w:t>following</w:t>
      </w:r>
      <w:r>
        <w:rPr>
          <w:color w:val="231F20"/>
          <w:spacing w:val="-4"/>
        </w:rPr>
        <w:t xml:space="preserve"> </w:t>
      </w:r>
      <w:r>
        <w:rPr>
          <w:color w:val="231F20"/>
          <w:spacing w:val="-2"/>
        </w:rPr>
        <w:t>criteria:</w:t>
      </w:r>
    </w:p>
    <w:p w14:paraId="1A9C2703" w14:textId="77777777" w:rsidR="00CE5677" w:rsidRDefault="00CE5677">
      <w:pPr>
        <w:pStyle w:val="BodyText"/>
        <w:spacing w:before="1"/>
      </w:pPr>
    </w:p>
    <w:p w14:paraId="73916665" w14:textId="77777777" w:rsidR="00CE5677" w:rsidRDefault="00000000">
      <w:pPr>
        <w:pStyle w:val="ListParagraph"/>
        <w:numPr>
          <w:ilvl w:val="0"/>
          <w:numId w:val="1"/>
        </w:numPr>
        <w:tabs>
          <w:tab w:val="left" w:pos="1199"/>
        </w:tabs>
        <w:ind w:left="1199" w:hanging="359"/>
      </w:pPr>
      <w:r>
        <w:rPr>
          <w:color w:val="231F20"/>
        </w:rPr>
        <w:t>Mandatory</w:t>
      </w:r>
      <w:r>
        <w:rPr>
          <w:color w:val="231F20"/>
          <w:spacing w:val="-6"/>
        </w:rPr>
        <w:t xml:space="preserve"> </w:t>
      </w:r>
      <w:r>
        <w:rPr>
          <w:color w:val="231F20"/>
        </w:rPr>
        <w:t>Requirements</w:t>
      </w:r>
      <w:r>
        <w:rPr>
          <w:color w:val="231F20"/>
          <w:spacing w:val="-3"/>
        </w:rPr>
        <w:t xml:space="preserve"> </w:t>
      </w:r>
      <w:r>
        <w:rPr>
          <w:color w:val="231F20"/>
        </w:rPr>
        <w:t>(5</w:t>
      </w:r>
      <w:r>
        <w:rPr>
          <w:color w:val="231F20"/>
          <w:spacing w:val="-3"/>
        </w:rPr>
        <w:t xml:space="preserve"> </w:t>
      </w:r>
      <w:r>
        <w:rPr>
          <w:color w:val="231F20"/>
          <w:spacing w:val="-2"/>
        </w:rPr>
        <w:t>points)</w:t>
      </w:r>
    </w:p>
    <w:p w14:paraId="2C121566" w14:textId="77777777" w:rsidR="00CE5677" w:rsidRDefault="00000000">
      <w:pPr>
        <w:pStyle w:val="ListParagraph"/>
        <w:numPr>
          <w:ilvl w:val="1"/>
          <w:numId w:val="1"/>
        </w:numPr>
        <w:tabs>
          <w:tab w:val="left" w:pos="1919"/>
        </w:tabs>
        <w:spacing w:before="1" w:line="252" w:lineRule="exact"/>
        <w:ind w:left="1919" w:hanging="359"/>
      </w:pPr>
      <w:r>
        <w:rPr>
          <w:color w:val="231F20"/>
        </w:rPr>
        <w:t>The</w:t>
      </w:r>
      <w:r>
        <w:rPr>
          <w:color w:val="231F20"/>
          <w:spacing w:val="-4"/>
        </w:rPr>
        <w:t xml:space="preserve"> </w:t>
      </w:r>
      <w:r>
        <w:rPr>
          <w:color w:val="231F20"/>
        </w:rPr>
        <w:t>audit</w:t>
      </w:r>
      <w:r>
        <w:rPr>
          <w:color w:val="231F20"/>
          <w:spacing w:val="-4"/>
        </w:rPr>
        <w:t xml:space="preserve"> </w:t>
      </w:r>
      <w:r>
        <w:rPr>
          <w:color w:val="231F20"/>
        </w:rPr>
        <w:t>firm</w:t>
      </w:r>
      <w:r>
        <w:rPr>
          <w:color w:val="231F20"/>
          <w:spacing w:val="-5"/>
        </w:rPr>
        <w:t xml:space="preserve"> </w:t>
      </w:r>
      <w:r>
        <w:rPr>
          <w:color w:val="231F20"/>
        </w:rPr>
        <w:t>is</w:t>
      </w:r>
      <w:r>
        <w:rPr>
          <w:color w:val="231F20"/>
          <w:spacing w:val="-2"/>
        </w:rPr>
        <w:t xml:space="preserve"> </w:t>
      </w:r>
      <w:r>
        <w:rPr>
          <w:color w:val="231F20"/>
        </w:rPr>
        <w:t>independent and</w:t>
      </w:r>
      <w:r>
        <w:rPr>
          <w:color w:val="231F20"/>
          <w:spacing w:val="-4"/>
        </w:rPr>
        <w:t xml:space="preserve"> </w:t>
      </w:r>
      <w:r>
        <w:rPr>
          <w:color w:val="231F20"/>
        </w:rPr>
        <w:t>licensed</w:t>
      </w:r>
      <w:r>
        <w:rPr>
          <w:color w:val="231F20"/>
          <w:spacing w:val="-4"/>
        </w:rPr>
        <w:t xml:space="preserve"> </w:t>
      </w:r>
      <w:r>
        <w:rPr>
          <w:color w:val="231F20"/>
        </w:rPr>
        <w:t>to</w:t>
      </w:r>
      <w:r>
        <w:rPr>
          <w:color w:val="231F20"/>
          <w:spacing w:val="-1"/>
        </w:rPr>
        <w:t xml:space="preserve"> </w:t>
      </w:r>
      <w:r>
        <w:rPr>
          <w:color w:val="231F20"/>
        </w:rPr>
        <w:t>practice</w:t>
      </w:r>
      <w:r>
        <w:rPr>
          <w:color w:val="231F20"/>
          <w:spacing w:val="-4"/>
        </w:rPr>
        <w:t xml:space="preserve"> </w:t>
      </w:r>
      <w:r>
        <w:rPr>
          <w:color w:val="231F20"/>
        </w:rPr>
        <w:t>in</w:t>
      </w:r>
      <w:r>
        <w:rPr>
          <w:color w:val="231F20"/>
          <w:spacing w:val="-1"/>
        </w:rPr>
        <w:t xml:space="preserve"> </w:t>
      </w:r>
      <w:r>
        <w:rPr>
          <w:color w:val="231F20"/>
          <w:spacing w:val="-5"/>
        </w:rPr>
        <w:t>NC</w:t>
      </w:r>
    </w:p>
    <w:p w14:paraId="4CCBA253" w14:textId="77777777" w:rsidR="00CE5677" w:rsidRDefault="00000000">
      <w:pPr>
        <w:pStyle w:val="ListParagraph"/>
        <w:numPr>
          <w:ilvl w:val="1"/>
          <w:numId w:val="1"/>
        </w:numPr>
        <w:tabs>
          <w:tab w:val="left" w:pos="1918"/>
        </w:tabs>
        <w:spacing w:line="252" w:lineRule="exact"/>
        <w:ind w:left="1918" w:hanging="359"/>
      </w:pPr>
      <w:r>
        <w:rPr>
          <w:color w:val="231F20"/>
        </w:rPr>
        <w:t>Staff</w:t>
      </w:r>
      <w:r>
        <w:rPr>
          <w:color w:val="231F20"/>
          <w:spacing w:val="-3"/>
        </w:rPr>
        <w:t xml:space="preserve"> </w:t>
      </w:r>
      <w:r>
        <w:rPr>
          <w:color w:val="231F20"/>
        </w:rPr>
        <w:t>have</w:t>
      </w:r>
      <w:r>
        <w:rPr>
          <w:color w:val="231F20"/>
          <w:spacing w:val="-3"/>
        </w:rPr>
        <w:t xml:space="preserve"> </w:t>
      </w:r>
      <w:r>
        <w:rPr>
          <w:color w:val="231F20"/>
        </w:rPr>
        <w:t>maintained</w:t>
      </w:r>
      <w:r>
        <w:rPr>
          <w:color w:val="231F20"/>
          <w:spacing w:val="-3"/>
        </w:rPr>
        <w:t xml:space="preserve"> </w:t>
      </w:r>
      <w:r>
        <w:rPr>
          <w:color w:val="231F20"/>
        </w:rPr>
        <w:t>CPE</w:t>
      </w:r>
      <w:r>
        <w:rPr>
          <w:color w:val="231F20"/>
          <w:spacing w:val="-5"/>
        </w:rPr>
        <w:t xml:space="preserve"> </w:t>
      </w:r>
      <w:r>
        <w:rPr>
          <w:color w:val="231F20"/>
          <w:spacing w:val="-2"/>
        </w:rPr>
        <w:t>requirements</w:t>
      </w:r>
    </w:p>
    <w:p w14:paraId="3B1F33CD" w14:textId="77777777" w:rsidR="00CE5677" w:rsidRDefault="00000000">
      <w:pPr>
        <w:pStyle w:val="ListParagraph"/>
        <w:numPr>
          <w:ilvl w:val="1"/>
          <w:numId w:val="1"/>
        </w:numPr>
        <w:tabs>
          <w:tab w:val="left" w:pos="1919"/>
        </w:tabs>
        <w:spacing w:line="252" w:lineRule="exact"/>
        <w:ind w:left="1919"/>
      </w:pPr>
      <w:r>
        <w:rPr>
          <w:color w:val="231F20"/>
        </w:rPr>
        <w:t>The</w:t>
      </w:r>
      <w:r>
        <w:rPr>
          <w:color w:val="231F20"/>
          <w:spacing w:val="-4"/>
        </w:rPr>
        <w:t xml:space="preserve"> </w:t>
      </w:r>
      <w:r>
        <w:rPr>
          <w:color w:val="231F20"/>
        </w:rPr>
        <w:t>audit</w:t>
      </w:r>
      <w:r>
        <w:rPr>
          <w:color w:val="231F20"/>
          <w:spacing w:val="-4"/>
        </w:rPr>
        <w:t xml:space="preserve"> </w:t>
      </w:r>
      <w:r>
        <w:rPr>
          <w:color w:val="231F20"/>
        </w:rPr>
        <w:t>firm</w:t>
      </w:r>
      <w:r>
        <w:rPr>
          <w:color w:val="231F20"/>
          <w:spacing w:val="-5"/>
        </w:rPr>
        <w:t xml:space="preserve"> </w:t>
      </w:r>
      <w:r>
        <w:rPr>
          <w:color w:val="231F20"/>
        </w:rPr>
        <w:t>submits</w:t>
      </w:r>
      <w:r>
        <w:rPr>
          <w:color w:val="231F20"/>
          <w:spacing w:val="-2"/>
        </w:rPr>
        <w:t xml:space="preserve"> </w:t>
      </w:r>
      <w:r>
        <w:rPr>
          <w:color w:val="231F20"/>
        </w:rPr>
        <w:t>a</w:t>
      </w:r>
      <w:r>
        <w:rPr>
          <w:color w:val="231F20"/>
          <w:spacing w:val="-1"/>
        </w:rPr>
        <w:t xml:space="preserve"> </w:t>
      </w:r>
      <w:r>
        <w:rPr>
          <w:color w:val="231F20"/>
        </w:rPr>
        <w:t>copy</w:t>
      </w:r>
      <w:r>
        <w:rPr>
          <w:color w:val="231F20"/>
          <w:spacing w:val="-4"/>
        </w:rPr>
        <w:t xml:space="preserve"> </w:t>
      </w:r>
      <w:r>
        <w:rPr>
          <w:color w:val="231F20"/>
        </w:rPr>
        <w:t>of</w:t>
      </w:r>
      <w:r>
        <w:rPr>
          <w:color w:val="231F20"/>
          <w:spacing w:val="-1"/>
        </w:rPr>
        <w:t xml:space="preserve"> </w:t>
      </w:r>
      <w:r>
        <w:rPr>
          <w:color w:val="231F20"/>
        </w:rPr>
        <w:t>most recent</w:t>
      </w:r>
      <w:r>
        <w:rPr>
          <w:color w:val="231F20"/>
          <w:spacing w:val="-1"/>
        </w:rPr>
        <w:t xml:space="preserve"> </w:t>
      </w:r>
      <w:r>
        <w:rPr>
          <w:color w:val="231F20"/>
        </w:rPr>
        <w:t>peer</w:t>
      </w:r>
      <w:r>
        <w:rPr>
          <w:color w:val="231F20"/>
          <w:spacing w:val="-4"/>
        </w:rPr>
        <w:t xml:space="preserve"> </w:t>
      </w:r>
      <w:r>
        <w:rPr>
          <w:color w:val="231F20"/>
        </w:rPr>
        <w:t>review</w:t>
      </w:r>
      <w:r>
        <w:rPr>
          <w:color w:val="231F20"/>
          <w:spacing w:val="-2"/>
        </w:rPr>
        <w:t xml:space="preserve"> </w:t>
      </w:r>
      <w:r>
        <w:rPr>
          <w:color w:val="231F20"/>
        </w:rPr>
        <w:t>and</w:t>
      </w:r>
      <w:r>
        <w:rPr>
          <w:color w:val="231F20"/>
          <w:spacing w:val="-2"/>
        </w:rPr>
        <w:t xml:space="preserve"> </w:t>
      </w:r>
      <w:r>
        <w:rPr>
          <w:color w:val="231F20"/>
        </w:rPr>
        <w:t>has</w:t>
      </w:r>
      <w:r>
        <w:rPr>
          <w:color w:val="231F20"/>
          <w:spacing w:val="-1"/>
        </w:rPr>
        <w:t xml:space="preserve"> </w:t>
      </w:r>
      <w:r>
        <w:rPr>
          <w:color w:val="231F20"/>
        </w:rPr>
        <w:t>a</w:t>
      </w:r>
      <w:r>
        <w:rPr>
          <w:color w:val="231F20"/>
          <w:spacing w:val="-4"/>
        </w:rPr>
        <w:t xml:space="preserve"> </w:t>
      </w:r>
      <w:r>
        <w:rPr>
          <w:color w:val="231F20"/>
        </w:rPr>
        <w:t>record</w:t>
      </w:r>
      <w:r>
        <w:rPr>
          <w:color w:val="231F20"/>
          <w:spacing w:val="-2"/>
        </w:rPr>
        <w:t xml:space="preserve"> </w:t>
      </w:r>
      <w:r>
        <w:rPr>
          <w:color w:val="231F20"/>
        </w:rPr>
        <w:t>of quality</w:t>
      </w:r>
      <w:r>
        <w:rPr>
          <w:color w:val="231F20"/>
          <w:spacing w:val="-4"/>
        </w:rPr>
        <w:t xml:space="preserve"> </w:t>
      </w:r>
      <w:r>
        <w:rPr>
          <w:color w:val="231F20"/>
        </w:rPr>
        <w:t xml:space="preserve">audit </w:t>
      </w:r>
      <w:r>
        <w:rPr>
          <w:color w:val="231F20"/>
          <w:spacing w:val="-4"/>
        </w:rPr>
        <w:t>work</w:t>
      </w:r>
    </w:p>
    <w:p w14:paraId="37131DA9" w14:textId="5D97D0DA" w:rsidR="00CE5677" w:rsidRDefault="00000000">
      <w:pPr>
        <w:pStyle w:val="ListParagraph"/>
        <w:numPr>
          <w:ilvl w:val="0"/>
          <w:numId w:val="1"/>
        </w:numPr>
        <w:tabs>
          <w:tab w:val="left" w:pos="1199"/>
        </w:tabs>
        <w:spacing w:before="2" w:line="252" w:lineRule="exact"/>
        <w:ind w:left="1199" w:hanging="359"/>
      </w:pPr>
      <w:r>
        <w:rPr>
          <w:color w:val="231F20"/>
        </w:rPr>
        <w:t>Technical</w:t>
      </w:r>
      <w:r>
        <w:rPr>
          <w:color w:val="231F20"/>
          <w:spacing w:val="-4"/>
        </w:rPr>
        <w:t xml:space="preserve"> </w:t>
      </w:r>
      <w:r>
        <w:rPr>
          <w:color w:val="231F20"/>
        </w:rPr>
        <w:t>Requirements</w:t>
      </w:r>
      <w:r>
        <w:rPr>
          <w:color w:val="231F20"/>
          <w:spacing w:val="-5"/>
        </w:rPr>
        <w:t xml:space="preserve"> </w:t>
      </w:r>
      <w:r>
        <w:rPr>
          <w:color w:val="231F20"/>
        </w:rPr>
        <w:t>(</w:t>
      </w:r>
      <w:r w:rsidR="00717AF5">
        <w:rPr>
          <w:color w:val="231F20"/>
        </w:rPr>
        <w:t>6</w:t>
      </w:r>
      <w:r>
        <w:rPr>
          <w:color w:val="231F20"/>
        </w:rPr>
        <w:t>5</w:t>
      </w:r>
      <w:r>
        <w:rPr>
          <w:color w:val="231F20"/>
          <w:spacing w:val="-4"/>
        </w:rPr>
        <w:t xml:space="preserve"> </w:t>
      </w:r>
      <w:r>
        <w:rPr>
          <w:color w:val="231F20"/>
          <w:spacing w:val="-2"/>
        </w:rPr>
        <w:t>points)</w:t>
      </w:r>
    </w:p>
    <w:p w14:paraId="73659C3B" w14:textId="77777777" w:rsidR="00CE5677" w:rsidRDefault="00000000">
      <w:pPr>
        <w:pStyle w:val="ListParagraph"/>
        <w:numPr>
          <w:ilvl w:val="1"/>
          <w:numId w:val="1"/>
        </w:numPr>
        <w:tabs>
          <w:tab w:val="left" w:pos="1919"/>
        </w:tabs>
        <w:spacing w:line="252" w:lineRule="exact"/>
        <w:ind w:left="1919" w:hanging="359"/>
      </w:pPr>
      <w:r>
        <w:rPr>
          <w:color w:val="231F20"/>
        </w:rPr>
        <w:t>Expertise</w:t>
      </w:r>
      <w:r>
        <w:rPr>
          <w:color w:val="231F20"/>
          <w:spacing w:val="-4"/>
        </w:rPr>
        <w:t xml:space="preserve"> </w:t>
      </w:r>
      <w:r>
        <w:rPr>
          <w:color w:val="231F20"/>
        </w:rPr>
        <w:t>and</w:t>
      </w:r>
      <w:r>
        <w:rPr>
          <w:color w:val="231F20"/>
          <w:spacing w:val="-3"/>
        </w:rPr>
        <w:t xml:space="preserve"> </w:t>
      </w:r>
      <w:r>
        <w:rPr>
          <w:color w:val="231F20"/>
        </w:rPr>
        <w:t>Experience</w:t>
      </w:r>
      <w:r>
        <w:rPr>
          <w:color w:val="231F20"/>
          <w:spacing w:val="-4"/>
        </w:rPr>
        <w:t xml:space="preserve"> </w:t>
      </w:r>
      <w:r>
        <w:rPr>
          <w:color w:val="231F20"/>
        </w:rPr>
        <w:t>(30</w:t>
      </w:r>
      <w:r>
        <w:rPr>
          <w:color w:val="231F20"/>
          <w:spacing w:val="-3"/>
        </w:rPr>
        <w:t xml:space="preserve"> </w:t>
      </w:r>
      <w:r>
        <w:rPr>
          <w:color w:val="231F20"/>
          <w:spacing w:val="-2"/>
        </w:rPr>
        <w:t>points)</w:t>
      </w:r>
    </w:p>
    <w:p w14:paraId="1C277A59" w14:textId="77777777" w:rsidR="00CE5677" w:rsidRDefault="00000000">
      <w:pPr>
        <w:pStyle w:val="ListParagraph"/>
        <w:numPr>
          <w:ilvl w:val="2"/>
          <w:numId w:val="1"/>
        </w:numPr>
        <w:tabs>
          <w:tab w:val="left" w:pos="2819"/>
        </w:tabs>
        <w:spacing w:line="269" w:lineRule="exact"/>
        <w:ind w:left="2819" w:hanging="359"/>
      </w:pPr>
      <w:r>
        <w:rPr>
          <w:color w:val="231F20"/>
        </w:rPr>
        <w:t>Organization,</w:t>
      </w:r>
      <w:r>
        <w:rPr>
          <w:color w:val="231F20"/>
          <w:spacing w:val="-3"/>
        </w:rPr>
        <w:t xml:space="preserve"> </w:t>
      </w:r>
      <w:r>
        <w:rPr>
          <w:color w:val="231F20"/>
        </w:rPr>
        <w:t>size,</w:t>
      </w:r>
      <w:r>
        <w:rPr>
          <w:color w:val="231F20"/>
          <w:spacing w:val="-5"/>
        </w:rPr>
        <w:t xml:space="preserve"> </w:t>
      </w:r>
      <w:r>
        <w:rPr>
          <w:color w:val="231F20"/>
        </w:rPr>
        <w:t>and</w:t>
      </w:r>
      <w:r>
        <w:rPr>
          <w:color w:val="231F20"/>
          <w:spacing w:val="-3"/>
        </w:rPr>
        <w:t xml:space="preserve"> </w:t>
      </w:r>
      <w:r>
        <w:rPr>
          <w:color w:val="231F20"/>
        </w:rPr>
        <w:t>structure</w:t>
      </w:r>
      <w:r>
        <w:rPr>
          <w:color w:val="231F20"/>
          <w:spacing w:val="-2"/>
        </w:rPr>
        <w:t xml:space="preserve"> </w:t>
      </w:r>
      <w:r>
        <w:rPr>
          <w:color w:val="231F20"/>
        </w:rPr>
        <w:t>of</w:t>
      </w:r>
      <w:r>
        <w:rPr>
          <w:color w:val="231F20"/>
          <w:spacing w:val="-2"/>
        </w:rPr>
        <w:t xml:space="preserve"> </w:t>
      </w:r>
      <w:r>
        <w:rPr>
          <w:color w:val="231F20"/>
        </w:rPr>
        <w:t>the</w:t>
      </w:r>
      <w:r>
        <w:rPr>
          <w:color w:val="231F20"/>
          <w:spacing w:val="-2"/>
        </w:rPr>
        <w:t xml:space="preserve"> </w:t>
      </w:r>
      <w:r>
        <w:rPr>
          <w:color w:val="231F20"/>
          <w:spacing w:val="-4"/>
        </w:rPr>
        <w:t>firm</w:t>
      </w:r>
    </w:p>
    <w:p w14:paraId="318D6600" w14:textId="723FEC33" w:rsidR="00CE5677" w:rsidRDefault="00922AAD">
      <w:pPr>
        <w:pStyle w:val="ListParagraph"/>
        <w:numPr>
          <w:ilvl w:val="2"/>
          <w:numId w:val="1"/>
        </w:numPr>
        <w:tabs>
          <w:tab w:val="left" w:pos="2819"/>
        </w:tabs>
        <w:spacing w:line="269" w:lineRule="exact"/>
        <w:ind w:left="2819" w:hanging="359"/>
      </w:pPr>
      <w:r>
        <w:rPr>
          <w:color w:val="231F20"/>
        </w:rPr>
        <w:t>Technical</w:t>
      </w:r>
      <w:r>
        <w:rPr>
          <w:color w:val="231F20"/>
          <w:spacing w:val="-4"/>
        </w:rPr>
        <w:t xml:space="preserve"> </w:t>
      </w:r>
      <w:r>
        <w:rPr>
          <w:color w:val="231F20"/>
        </w:rPr>
        <w:t>and</w:t>
      </w:r>
      <w:r>
        <w:rPr>
          <w:color w:val="231F20"/>
          <w:spacing w:val="-6"/>
        </w:rPr>
        <w:t xml:space="preserve"> </w:t>
      </w:r>
      <w:r>
        <w:rPr>
          <w:color w:val="231F20"/>
        </w:rPr>
        <w:t>professional</w:t>
      </w:r>
      <w:r>
        <w:rPr>
          <w:color w:val="231F20"/>
          <w:spacing w:val="-5"/>
        </w:rPr>
        <w:t xml:space="preserve"> </w:t>
      </w:r>
      <w:r>
        <w:rPr>
          <w:color w:val="231F20"/>
        </w:rPr>
        <w:t>qualifications</w:t>
      </w:r>
      <w:r>
        <w:rPr>
          <w:color w:val="231F20"/>
          <w:spacing w:val="-3"/>
        </w:rPr>
        <w:t xml:space="preserve"> </w:t>
      </w:r>
      <w:r>
        <w:rPr>
          <w:color w:val="231F20"/>
        </w:rPr>
        <w:t>of</w:t>
      </w:r>
      <w:r>
        <w:rPr>
          <w:color w:val="231F20"/>
          <w:spacing w:val="-2"/>
        </w:rPr>
        <w:t xml:space="preserve"> </w:t>
      </w:r>
      <w:r>
        <w:rPr>
          <w:color w:val="231F20"/>
          <w:spacing w:val="-4"/>
        </w:rPr>
        <w:t>staff</w:t>
      </w:r>
    </w:p>
    <w:p w14:paraId="188ED449" w14:textId="77777777" w:rsidR="00CE5677" w:rsidRDefault="00000000">
      <w:pPr>
        <w:pStyle w:val="ListParagraph"/>
        <w:numPr>
          <w:ilvl w:val="2"/>
          <w:numId w:val="1"/>
        </w:numPr>
        <w:tabs>
          <w:tab w:val="left" w:pos="2819"/>
        </w:tabs>
        <w:spacing w:line="269" w:lineRule="exact"/>
        <w:ind w:left="2819"/>
      </w:pPr>
      <w:r>
        <w:rPr>
          <w:color w:val="231F20"/>
        </w:rPr>
        <w:t>The</w:t>
      </w:r>
      <w:r>
        <w:rPr>
          <w:color w:val="231F20"/>
          <w:spacing w:val="-7"/>
        </w:rPr>
        <w:t xml:space="preserve"> </w:t>
      </w:r>
      <w:r>
        <w:rPr>
          <w:color w:val="231F20"/>
        </w:rPr>
        <w:t>firm’s</w:t>
      </w:r>
      <w:r>
        <w:rPr>
          <w:color w:val="231F20"/>
          <w:spacing w:val="-3"/>
        </w:rPr>
        <w:t xml:space="preserve"> </w:t>
      </w:r>
      <w:r>
        <w:rPr>
          <w:color w:val="231F20"/>
        </w:rPr>
        <w:t>past</w:t>
      </w:r>
      <w:r>
        <w:rPr>
          <w:color w:val="231F20"/>
          <w:spacing w:val="-1"/>
        </w:rPr>
        <w:t xml:space="preserve"> </w:t>
      </w:r>
      <w:r>
        <w:rPr>
          <w:color w:val="231F20"/>
        </w:rPr>
        <w:t>experience</w:t>
      </w:r>
      <w:r>
        <w:rPr>
          <w:color w:val="231F20"/>
          <w:spacing w:val="-5"/>
        </w:rPr>
        <w:t xml:space="preserve"> </w:t>
      </w:r>
      <w:r>
        <w:rPr>
          <w:color w:val="231F20"/>
        </w:rPr>
        <w:t>and</w:t>
      </w:r>
      <w:r>
        <w:rPr>
          <w:color w:val="231F20"/>
          <w:spacing w:val="-3"/>
        </w:rPr>
        <w:t xml:space="preserve"> </w:t>
      </w:r>
      <w:r>
        <w:rPr>
          <w:color w:val="231F20"/>
        </w:rPr>
        <w:t>performance</w:t>
      </w:r>
      <w:r>
        <w:rPr>
          <w:color w:val="231F20"/>
          <w:spacing w:val="-2"/>
        </w:rPr>
        <w:t xml:space="preserve"> </w:t>
      </w:r>
      <w:r>
        <w:rPr>
          <w:color w:val="231F20"/>
        </w:rPr>
        <w:t>with</w:t>
      </w:r>
      <w:r>
        <w:rPr>
          <w:color w:val="231F20"/>
          <w:spacing w:val="-3"/>
        </w:rPr>
        <w:t xml:space="preserve"> </w:t>
      </w:r>
      <w:r>
        <w:rPr>
          <w:color w:val="231F20"/>
        </w:rPr>
        <w:t>similar</w:t>
      </w:r>
      <w:r>
        <w:rPr>
          <w:color w:val="231F20"/>
          <w:spacing w:val="-1"/>
        </w:rPr>
        <w:t xml:space="preserve"> </w:t>
      </w:r>
      <w:r>
        <w:rPr>
          <w:color w:val="231F20"/>
          <w:spacing w:val="-2"/>
        </w:rPr>
        <w:t>engagements</w:t>
      </w:r>
    </w:p>
    <w:p w14:paraId="3A72B688" w14:textId="5DD824C5" w:rsidR="00CE5677" w:rsidRDefault="00000000">
      <w:pPr>
        <w:pStyle w:val="ListParagraph"/>
        <w:numPr>
          <w:ilvl w:val="1"/>
          <w:numId w:val="1"/>
        </w:numPr>
        <w:tabs>
          <w:tab w:val="left" w:pos="1918"/>
        </w:tabs>
        <w:spacing w:line="252" w:lineRule="exact"/>
        <w:ind w:left="1918" w:hanging="359"/>
      </w:pPr>
      <w:r>
        <w:rPr>
          <w:color w:val="231F20"/>
        </w:rPr>
        <w:t>Audit</w:t>
      </w:r>
      <w:r>
        <w:rPr>
          <w:color w:val="231F20"/>
          <w:spacing w:val="-2"/>
        </w:rPr>
        <w:t xml:space="preserve"> </w:t>
      </w:r>
      <w:r>
        <w:rPr>
          <w:color w:val="231F20"/>
        </w:rPr>
        <w:t>Approach</w:t>
      </w:r>
      <w:r>
        <w:rPr>
          <w:color w:val="231F20"/>
          <w:spacing w:val="-2"/>
        </w:rPr>
        <w:t xml:space="preserve"> </w:t>
      </w:r>
      <w:r>
        <w:rPr>
          <w:color w:val="231F20"/>
        </w:rPr>
        <w:t>(</w:t>
      </w:r>
      <w:r w:rsidR="006F3F93">
        <w:rPr>
          <w:color w:val="231F20"/>
        </w:rPr>
        <w:t>3</w:t>
      </w:r>
      <w:r>
        <w:rPr>
          <w:color w:val="231F20"/>
        </w:rPr>
        <w:t>5</w:t>
      </w:r>
      <w:r>
        <w:rPr>
          <w:color w:val="231F20"/>
          <w:spacing w:val="-2"/>
        </w:rPr>
        <w:t xml:space="preserve"> points)</w:t>
      </w:r>
    </w:p>
    <w:p w14:paraId="5DD15A38" w14:textId="77975B42" w:rsidR="00CE5677" w:rsidRDefault="00000000">
      <w:pPr>
        <w:pStyle w:val="ListParagraph"/>
        <w:numPr>
          <w:ilvl w:val="0"/>
          <w:numId w:val="1"/>
        </w:numPr>
        <w:tabs>
          <w:tab w:val="left" w:pos="1059"/>
        </w:tabs>
        <w:spacing w:line="252" w:lineRule="exact"/>
        <w:ind w:left="1059" w:hanging="220"/>
      </w:pPr>
      <w:r>
        <w:rPr>
          <w:color w:val="231F20"/>
        </w:rPr>
        <w:t>Cost</w:t>
      </w:r>
      <w:r>
        <w:rPr>
          <w:color w:val="231F20"/>
          <w:spacing w:val="-2"/>
        </w:rPr>
        <w:t xml:space="preserve"> </w:t>
      </w:r>
      <w:r>
        <w:rPr>
          <w:color w:val="231F20"/>
        </w:rPr>
        <w:t>(</w:t>
      </w:r>
      <w:r w:rsidR="006F3F93">
        <w:rPr>
          <w:color w:val="231F20"/>
        </w:rPr>
        <w:t>3</w:t>
      </w:r>
      <w:r>
        <w:rPr>
          <w:color w:val="231F20"/>
        </w:rPr>
        <w:t xml:space="preserve">0 </w:t>
      </w:r>
      <w:r>
        <w:rPr>
          <w:color w:val="231F20"/>
          <w:spacing w:val="-2"/>
        </w:rPr>
        <w:t>points)</w:t>
      </w:r>
    </w:p>
    <w:p w14:paraId="437EF5E1" w14:textId="77777777" w:rsidR="00CE5677" w:rsidRDefault="00CE5677">
      <w:pPr>
        <w:pStyle w:val="BodyText"/>
        <w:spacing w:before="1"/>
      </w:pPr>
    </w:p>
    <w:p w14:paraId="78AB82EA" w14:textId="77777777" w:rsidR="00CE5677" w:rsidRDefault="00000000">
      <w:pPr>
        <w:pStyle w:val="BodyText"/>
        <w:ind w:left="119" w:right="113"/>
        <w:jc w:val="both"/>
      </w:pPr>
      <w:r>
        <w:rPr>
          <w:color w:val="231F20"/>
        </w:rPr>
        <w:t xml:space="preserve">The evaluation and selection of an audit firm will be based on the information submitted in the audit firm’s proposal, references obtained, and any required on-site visits or oral presentations. Failure to respond to each of the requirements in the RFP may be the basis for rejecting a response. GHA reserves the right to reject any and all proposals and to negotiate the terms of the contract with the selected proposer prior to entering into a contract. If contract negotiations cannot be concluded successfully with the highest scoring proposer, GHA may negotiate a contract with the next highest scoring </w:t>
      </w:r>
      <w:r>
        <w:rPr>
          <w:color w:val="231F20"/>
          <w:spacing w:val="-2"/>
        </w:rPr>
        <w:t>proposer.</w:t>
      </w:r>
    </w:p>
    <w:p w14:paraId="66CA4477" w14:textId="77777777" w:rsidR="00CE5677" w:rsidRDefault="00CE5677">
      <w:pPr>
        <w:pStyle w:val="BodyText"/>
      </w:pPr>
    </w:p>
    <w:p w14:paraId="78B17400" w14:textId="7B3EB9BF" w:rsidR="00CE5677" w:rsidRDefault="00000000">
      <w:pPr>
        <w:pStyle w:val="BodyText"/>
        <w:ind w:left="120" w:right="115"/>
        <w:jc w:val="both"/>
      </w:pPr>
      <w:r>
        <w:rPr>
          <w:color w:val="231F20"/>
        </w:rPr>
        <w:t xml:space="preserve">The request for proposal and the </w:t>
      </w:r>
      <w:r w:rsidR="00922AAD">
        <w:rPr>
          <w:color w:val="231F20"/>
        </w:rPr>
        <w:t>complete</w:t>
      </w:r>
      <w:r>
        <w:rPr>
          <w:color w:val="231F20"/>
        </w:rPr>
        <w:t xml:space="preserve"> response to the request for proposal will be an addendum to the signed contract executed with the successful audit firm.</w:t>
      </w:r>
    </w:p>
    <w:p w14:paraId="4ABC1DFC" w14:textId="77777777" w:rsidR="00CE5677" w:rsidRDefault="00000000">
      <w:pPr>
        <w:pStyle w:val="BodyText"/>
        <w:spacing w:before="253"/>
        <w:ind w:left="120" w:right="115"/>
        <w:jc w:val="both"/>
      </w:pPr>
      <w:r>
        <w:rPr>
          <w:color w:val="231F20"/>
        </w:rPr>
        <w:t>Proposals may be withdrawn by written request prior to the deadline set after which proposals will not be accepted or considered. Proposals may not be revoked or withdrawn after the time set for the opening of proposals but shall remain open for acceptance for a period of sixty (60) days following such time.</w:t>
      </w:r>
    </w:p>
    <w:p w14:paraId="2DD71B4C" w14:textId="77777777" w:rsidR="00CE5677" w:rsidRDefault="00CE5677">
      <w:pPr>
        <w:pStyle w:val="BodyText"/>
      </w:pPr>
    </w:p>
    <w:p w14:paraId="303F08C7" w14:textId="400C9E0D" w:rsidR="00CE5677" w:rsidRDefault="00000000">
      <w:pPr>
        <w:pStyle w:val="BodyText"/>
        <w:spacing w:before="1"/>
        <w:ind w:left="120" w:right="116"/>
        <w:jc w:val="both"/>
        <w:rPr>
          <w:color w:val="231F20"/>
        </w:rPr>
      </w:pPr>
      <w:r>
        <w:rPr>
          <w:color w:val="231F20"/>
        </w:rPr>
        <w:t xml:space="preserve">The audit contract will require that you retain the audit working papers to which GHA or other governmental units may have access for a period of three years after the date of issuance of the auditor’s report to GHA. These </w:t>
      </w:r>
      <w:r w:rsidR="00922AAD">
        <w:rPr>
          <w:color w:val="231F20"/>
        </w:rPr>
        <w:t>work</w:t>
      </w:r>
      <w:r>
        <w:rPr>
          <w:color w:val="231F20"/>
        </w:rPr>
        <w:t xml:space="preserve"> papers must also be made available to successor auditors should your firm not be the successful bidder.</w:t>
      </w:r>
    </w:p>
    <w:p w14:paraId="7D15C803" w14:textId="77777777" w:rsidR="00E2350F" w:rsidRDefault="00E2350F">
      <w:pPr>
        <w:pStyle w:val="BodyText"/>
        <w:spacing w:before="1"/>
        <w:ind w:left="120" w:right="116"/>
        <w:jc w:val="both"/>
        <w:rPr>
          <w:color w:val="231F20"/>
        </w:rPr>
      </w:pPr>
    </w:p>
    <w:p w14:paraId="706D2263" w14:textId="77777777" w:rsidR="00E2350F" w:rsidRDefault="00E2350F">
      <w:pPr>
        <w:pStyle w:val="BodyText"/>
        <w:spacing w:before="1"/>
        <w:ind w:left="120" w:right="116"/>
        <w:jc w:val="both"/>
        <w:rPr>
          <w:color w:val="231F20"/>
        </w:rPr>
      </w:pPr>
    </w:p>
    <w:p w14:paraId="4AB81F10" w14:textId="77777777" w:rsidR="00E2350F" w:rsidRDefault="00E2350F">
      <w:pPr>
        <w:pStyle w:val="BodyText"/>
        <w:spacing w:before="1"/>
        <w:ind w:left="120" w:right="116"/>
        <w:jc w:val="both"/>
        <w:rPr>
          <w:color w:val="231F20"/>
        </w:rPr>
      </w:pPr>
    </w:p>
    <w:p w14:paraId="6C2141FC" w14:textId="77777777" w:rsidR="00E2350F" w:rsidRDefault="00E2350F">
      <w:pPr>
        <w:pStyle w:val="BodyText"/>
        <w:spacing w:before="1"/>
        <w:ind w:left="120" w:right="116"/>
        <w:jc w:val="both"/>
        <w:rPr>
          <w:color w:val="231F20"/>
        </w:rPr>
      </w:pPr>
    </w:p>
    <w:p w14:paraId="77915853" w14:textId="77777777" w:rsidR="00E2350F" w:rsidRDefault="00E2350F">
      <w:pPr>
        <w:pStyle w:val="BodyText"/>
        <w:spacing w:before="1"/>
        <w:ind w:left="120" w:right="116"/>
        <w:jc w:val="both"/>
        <w:rPr>
          <w:color w:val="231F20"/>
        </w:rPr>
      </w:pPr>
    </w:p>
    <w:p w14:paraId="0F8FEE15" w14:textId="77777777" w:rsidR="00E2350F" w:rsidRDefault="00E2350F">
      <w:pPr>
        <w:pStyle w:val="BodyText"/>
        <w:spacing w:before="1"/>
        <w:ind w:left="120" w:right="116"/>
        <w:jc w:val="both"/>
        <w:rPr>
          <w:color w:val="231F20"/>
        </w:rPr>
      </w:pPr>
    </w:p>
    <w:p w14:paraId="5A6C8631" w14:textId="77777777" w:rsidR="00E2350F" w:rsidRDefault="00E2350F">
      <w:pPr>
        <w:pStyle w:val="BodyText"/>
        <w:spacing w:before="1"/>
        <w:ind w:left="120" w:right="116"/>
        <w:jc w:val="both"/>
        <w:rPr>
          <w:color w:val="231F20"/>
        </w:rPr>
      </w:pPr>
    </w:p>
    <w:p w14:paraId="08185170" w14:textId="77777777" w:rsidR="00E2350F" w:rsidRDefault="00E2350F">
      <w:pPr>
        <w:pStyle w:val="BodyText"/>
        <w:spacing w:before="1"/>
        <w:ind w:left="120" w:right="116"/>
        <w:jc w:val="both"/>
        <w:rPr>
          <w:color w:val="231F20"/>
        </w:rPr>
      </w:pPr>
    </w:p>
    <w:p w14:paraId="10DF7B69" w14:textId="77777777" w:rsidR="00E2350F" w:rsidRDefault="00E2350F">
      <w:pPr>
        <w:pStyle w:val="BodyText"/>
        <w:spacing w:before="1"/>
        <w:ind w:left="120" w:right="116"/>
        <w:jc w:val="both"/>
        <w:rPr>
          <w:color w:val="231F20"/>
        </w:rPr>
      </w:pPr>
    </w:p>
    <w:p w14:paraId="3016E17A" w14:textId="77777777" w:rsidR="00E2350F" w:rsidRDefault="00E2350F">
      <w:pPr>
        <w:pStyle w:val="BodyText"/>
        <w:spacing w:before="1"/>
        <w:ind w:left="120" w:right="116"/>
        <w:jc w:val="both"/>
        <w:rPr>
          <w:color w:val="231F20"/>
        </w:rPr>
      </w:pPr>
    </w:p>
    <w:p w14:paraId="17E12C52" w14:textId="77777777" w:rsidR="00E2350F" w:rsidRDefault="00E2350F">
      <w:pPr>
        <w:pStyle w:val="BodyText"/>
        <w:spacing w:before="1"/>
        <w:ind w:left="120" w:right="116"/>
        <w:jc w:val="both"/>
        <w:rPr>
          <w:color w:val="231F20"/>
        </w:rPr>
      </w:pPr>
    </w:p>
    <w:p w14:paraId="7D4211DE" w14:textId="77777777" w:rsidR="00E2350F" w:rsidRDefault="00E2350F">
      <w:pPr>
        <w:pStyle w:val="BodyText"/>
        <w:spacing w:before="1"/>
        <w:ind w:left="120" w:right="116"/>
        <w:jc w:val="both"/>
        <w:rPr>
          <w:color w:val="231F20"/>
        </w:rPr>
      </w:pPr>
    </w:p>
    <w:p w14:paraId="268F14CF" w14:textId="77777777" w:rsidR="00E2350F" w:rsidRDefault="00E2350F">
      <w:pPr>
        <w:pStyle w:val="BodyText"/>
        <w:spacing w:before="1"/>
        <w:ind w:left="120" w:right="116"/>
        <w:jc w:val="both"/>
        <w:rPr>
          <w:color w:val="231F20"/>
        </w:rPr>
      </w:pPr>
    </w:p>
    <w:p w14:paraId="4C8FDDB7" w14:textId="77777777" w:rsidR="00E2350F" w:rsidRDefault="00E2350F">
      <w:pPr>
        <w:pStyle w:val="BodyText"/>
        <w:spacing w:before="1"/>
        <w:ind w:left="120" w:right="116"/>
        <w:jc w:val="both"/>
        <w:rPr>
          <w:color w:val="231F20"/>
        </w:rPr>
      </w:pPr>
    </w:p>
    <w:p w14:paraId="2B44570E" w14:textId="77777777" w:rsidR="00E2350F" w:rsidRDefault="00E2350F">
      <w:pPr>
        <w:pStyle w:val="BodyText"/>
        <w:spacing w:before="1"/>
        <w:ind w:left="120" w:right="116"/>
        <w:jc w:val="both"/>
        <w:rPr>
          <w:color w:val="231F20"/>
        </w:rPr>
      </w:pPr>
    </w:p>
    <w:p w14:paraId="7ACFCCE6" w14:textId="77777777" w:rsidR="00E2350F" w:rsidRDefault="00E2350F">
      <w:pPr>
        <w:pStyle w:val="BodyText"/>
        <w:spacing w:before="1"/>
        <w:ind w:left="120" w:right="116"/>
        <w:jc w:val="both"/>
        <w:rPr>
          <w:color w:val="231F20"/>
        </w:rPr>
      </w:pPr>
    </w:p>
    <w:p w14:paraId="11F209EF" w14:textId="77777777" w:rsidR="00E2350F" w:rsidRDefault="00E2350F">
      <w:pPr>
        <w:pStyle w:val="BodyText"/>
        <w:spacing w:before="1"/>
        <w:ind w:left="120" w:right="116"/>
        <w:jc w:val="both"/>
        <w:rPr>
          <w:color w:val="231F20"/>
        </w:rPr>
      </w:pPr>
    </w:p>
    <w:p w14:paraId="2E8B3A4F" w14:textId="77777777" w:rsidR="00E2350F" w:rsidRDefault="00E2350F">
      <w:pPr>
        <w:pStyle w:val="BodyText"/>
        <w:spacing w:before="1"/>
        <w:ind w:left="120" w:right="116"/>
        <w:jc w:val="both"/>
        <w:rPr>
          <w:color w:val="231F20"/>
        </w:rPr>
      </w:pPr>
    </w:p>
    <w:p w14:paraId="36C6AC0A" w14:textId="77777777" w:rsidR="00E2350F" w:rsidRDefault="00E2350F">
      <w:pPr>
        <w:pStyle w:val="BodyText"/>
        <w:spacing w:before="1"/>
        <w:ind w:left="120" w:right="116"/>
        <w:jc w:val="both"/>
        <w:rPr>
          <w:color w:val="231F20"/>
        </w:rPr>
      </w:pPr>
    </w:p>
    <w:p w14:paraId="144AABB5" w14:textId="77777777" w:rsidR="00E2350F" w:rsidRDefault="00E2350F">
      <w:pPr>
        <w:pStyle w:val="BodyText"/>
        <w:spacing w:before="1"/>
        <w:ind w:left="120" w:right="116"/>
        <w:jc w:val="both"/>
        <w:rPr>
          <w:color w:val="231F20"/>
        </w:rPr>
      </w:pPr>
    </w:p>
    <w:p w14:paraId="09116CD4" w14:textId="77777777" w:rsidR="00E2350F" w:rsidRDefault="00E2350F">
      <w:pPr>
        <w:pStyle w:val="BodyText"/>
        <w:spacing w:before="1"/>
        <w:ind w:left="120" w:right="116"/>
        <w:jc w:val="both"/>
        <w:rPr>
          <w:color w:val="231F20"/>
        </w:rPr>
      </w:pPr>
    </w:p>
    <w:p w14:paraId="28B8449D" w14:textId="68B8917B" w:rsidR="00970BBE" w:rsidRDefault="00970BBE" w:rsidP="00970BBE">
      <w:pPr>
        <w:pStyle w:val="BodyText"/>
        <w:spacing w:before="1"/>
        <w:ind w:left="120" w:right="116"/>
        <w:jc w:val="both"/>
        <w:rPr>
          <w:color w:val="231F20"/>
        </w:rPr>
      </w:pPr>
      <w:r>
        <w:rPr>
          <w:color w:val="231F20"/>
        </w:rPr>
        <w:lastRenderedPageBreak/>
        <w:t>List of Projects, Units and Budget</w:t>
      </w:r>
    </w:p>
    <w:p w14:paraId="7488FD3D" w14:textId="77777777" w:rsidR="00970BBE" w:rsidRDefault="00970BBE">
      <w:pPr>
        <w:pStyle w:val="BodyText"/>
        <w:spacing w:before="1"/>
        <w:ind w:left="120" w:right="116"/>
        <w:jc w:val="both"/>
        <w:rPr>
          <w:color w:val="231F20"/>
        </w:rPr>
      </w:pPr>
    </w:p>
    <w:p w14:paraId="249ACAC6" w14:textId="6FB7AD87" w:rsidR="00E2350F" w:rsidRDefault="004E3B43">
      <w:pPr>
        <w:pStyle w:val="BodyText"/>
        <w:spacing w:before="1"/>
        <w:ind w:left="120" w:right="116"/>
        <w:jc w:val="both"/>
        <w:rPr>
          <w:color w:val="231F20"/>
        </w:rPr>
      </w:pPr>
      <w:r>
        <w:rPr>
          <w:color w:val="231F20"/>
        </w:rPr>
        <w:t>October 1, 2024 to September 30, 2025</w:t>
      </w:r>
    </w:p>
    <w:p w14:paraId="43BF45EE" w14:textId="77777777" w:rsidR="004E3B43" w:rsidRDefault="004E3B43">
      <w:pPr>
        <w:pStyle w:val="BodyText"/>
        <w:spacing w:before="1"/>
        <w:ind w:left="120" w:right="116"/>
        <w:jc w:val="both"/>
        <w:rPr>
          <w:color w:val="231F20"/>
        </w:rPr>
      </w:pPr>
    </w:p>
    <w:p w14:paraId="00EBE5F0" w14:textId="30E5E6F9" w:rsidR="00E2350F" w:rsidRDefault="004E3B43">
      <w:pPr>
        <w:pStyle w:val="BodyText"/>
        <w:spacing w:before="1"/>
        <w:ind w:left="120" w:right="116"/>
        <w:jc w:val="both"/>
        <w:rPr>
          <w:color w:val="231F20"/>
        </w:rPr>
      </w:pPr>
      <w:r>
        <w:rPr>
          <w:color w:val="231F20"/>
        </w:rPr>
        <w:t>Federal Public Housing -714 units - $9.5 million</w:t>
      </w:r>
    </w:p>
    <w:p w14:paraId="76A0DF4A" w14:textId="6ABC0B31" w:rsidR="004E3B43" w:rsidRDefault="004E3B43">
      <w:pPr>
        <w:pStyle w:val="BodyText"/>
        <w:spacing w:before="1"/>
        <w:ind w:left="120" w:right="116"/>
        <w:jc w:val="both"/>
        <w:rPr>
          <w:color w:val="231F20"/>
        </w:rPr>
      </w:pPr>
      <w:r>
        <w:rPr>
          <w:color w:val="231F20"/>
        </w:rPr>
        <w:t>Capital funds                                      2.5 million</w:t>
      </w:r>
    </w:p>
    <w:p w14:paraId="4B57680A" w14:textId="3BBB121B" w:rsidR="004E3B43" w:rsidRDefault="004E3B43" w:rsidP="004E3B43">
      <w:pPr>
        <w:pStyle w:val="BodyText"/>
        <w:spacing w:before="1"/>
        <w:ind w:left="120" w:right="116"/>
        <w:jc w:val="both"/>
        <w:rPr>
          <w:color w:val="231F20"/>
        </w:rPr>
      </w:pPr>
      <w:r>
        <w:rPr>
          <w:color w:val="231F20"/>
        </w:rPr>
        <w:t>Housing Choice Voucher – 843 units – 5 million</w:t>
      </w:r>
    </w:p>
    <w:p w14:paraId="4B05ACE6" w14:textId="13459D5C" w:rsidR="004E3B43" w:rsidRDefault="006A67C9" w:rsidP="004E3B43">
      <w:pPr>
        <w:pStyle w:val="BodyText"/>
        <w:spacing w:before="1"/>
        <w:ind w:left="120" w:right="116"/>
        <w:jc w:val="both"/>
        <w:rPr>
          <w:color w:val="231F20"/>
        </w:rPr>
      </w:pPr>
      <w:r>
        <w:rPr>
          <w:color w:val="231F20"/>
        </w:rPr>
        <w:t>Mainstream</w:t>
      </w:r>
      <w:r w:rsidR="004E3B43">
        <w:rPr>
          <w:color w:val="231F20"/>
        </w:rPr>
        <w:t xml:space="preserve"> </w:t>
      </w:r>
      <w:r>
        <w:rPr>
          <w:color w:val="231F20"/>
        </w:rPr>
        <w:t>Vouchers -</w:t>
      </w:r>
      <w:r w:rsidR="004E3B43">
        <w:rPr>
          <w:color w:val="231F20"/>
        </w:rPr>
        <w:t xml:space="preserve"> 40 units - $</w:t>
      </w:r>
      <w:r>
        <w:rPr>
          <w:color w:val="231F20"/>
        </w:rPr>
        <w:t>200,000</w:t>
      </w:r>
    </w:p>
    <w:p w14:paraId="66B1E53A" w14:textId="76881FFC" w:rsidR="006A67C9" w:rsidRDefault="006A67C9" w:rsidP="004E3B43">
      <w:pPr>
        <w:pStyle w:val="BodyText"/>
        <w:spacing w:before="1"/>
        <w:ind w:left="120" w:right="116"/>
        <w:jc w:val="both"/>
        <w:rPr>
          <w:color w:val="231F20"/>
        </w:rPr>
      </w:pPr>
      <w:r>
        <w:rPr>
          <w:color w:val="231F20"/>
        </w:rPr>
        <w:t>Emergency Vouchers – 27 units - $200,000</w:t>
      </w:r>
    </w:p>
    <w:p w14:paraId="4F2C35AA" w14:textId="25DD197C" w:rsidR="006A67C9" w:rsidRDefault="006A67C9" w:rsidP="004E3B43">
      <w:pPr>
        <w:pStyle w:val="BodyText"/>
        <w:spacing w:before="1"/>
        <w:ind w:left="120" w:right="116"/>
        <w:jc w:val="both"/>
        <w:rPr>
          <w:color w:val="231F20"/>
        </w:rPr>
      </w:pPr>
      <w:r>
        <w:rPr>
          <w:color w:val="231F20"/>
        </w:rPr>
        <w:t>Central Office Cost Center - $1.6 Million</w:t>
      </w:r>
    </w:p>
    <w:p w14:paraId="384CC311" w14:textId="35FF76DD" w:rsidR="006A67C9" w:rsidRDefault="006A67C9" w:rsidP="004E3B43">
      <w:pPr>
        <w:pStyle w:val="BodyText"/>
        <w:spacing w:before="1"/>
        <w:ind w:left="120" w:right="116"/>
        <w:jc w:val="both"/>
        <w:rPr>
          <w:color w:val="231F20"/>
        </w:rPr>
      </w:pPr>
      <w:r>
        <w:rPr>
          <w:color w:val="231F20"/>
        </w:rPr>
        <w:t>GHDC – nonprofit $50,000</w:t>
      </w:r>
    </w:p>
    <w:p w14:paraId="3A04C255" w14:textId="2C8FD42E" w:rsidR="006A67C9" w:rsidRDefault="006A67C9" w:rsidP="004E3B43">
      <w:pPr>
        <w:pStyle w:val="BodyText"/>
        <w:spacing w:before="1"/>
        <w:ind w:left="120" w:right="116"/>
        <w:jc w:val="both"/>
        <w:rPr>
          <w:color w:val="231F20"/>
        </w:rPr>
      </w:pPr>
      <w:r>
        <w:rPr>
          <w:color w:val="231F20"/>
        </w:rPr>
        <w:t>University Towers - 60 units - $600,000</w:t>
      </w:r>
    </w:p>
    <w:p w14:paraId="0F2033B1" w14:textId="3D4C62EF" w:rsidR="006A67C9" w:rsidRDefault="006A67C9" w:rsidP="00257CD2">
      <w:pPr>
        <w:pStyle w:val="BodyText"/>
        <w:spacing w:before="1"/>
        <w:ind w:left="120" w:right="116"/>
        <w:jc w:val="both"/>
        <w:rPr>
          <w:color w:val="231F20"/>
        </w:rPr>
      </w:pPr>
      <w:r>
        <w:rPr>
          <w:color w:val="231F20"/>
        </w:rPr>
        <w:t>Ve</w:t>
      </w:r>
      <w:r w:rsidR="00257CD2">
        <w:rPr>
          <w:color w:val="231F20"/>
        </w:rPr>
        <w:t>r</w:t>
      </w:r>
      <w:r>
        <w:rPr>
          <w:color w:val="231F20"/>
        </w:rPr>
        <w:t>dura – 12 units - $75,000</w:t>
      </w:r>
    </w:p>
    <w:p w14:paraId="63C0D0F0" w14:textId="231CBC87" w:rsidR="006A67C9" w:rsidRDefault="006A67C9" w:rsidP="004E3B43">
      <w:pPr>
        <w:pStyle w:val="BodyText"/>
        <w:spacing w:before="1"/>
        <w:ind w:left="120" w:right="116"/>
        <w:jc w:val="both"/>
        <w:rPr>
          <w:color w:val="231F20"/>
        </w:rPr>
      </w:pPr>
      <w:r>
        <w:rPr>
          <w:color w:val="231F20"/>
        </w:rPr>
        <w:t>Crystal Springs – 64 units - $400,000</w:t>
      </w:r>
    </w:p>
    <w:p w14:paraId="6B361364" w14:textId="38B93E0C" w:rsidR="006A67C9" w:rsidRDefault="00970BBE" w:rsidP="004E3B43">
      <w:pPr>
        <w:pStyle w:val="BodyText"/>
        <w:spacing w:before="1"/>
        <w:ind w:left="120" w:right="116"/>
        <w:jc w:val="both"/>
        <w:rPr>
          <w:color w:val="231F20"/>
        </w:rPr>
      </w:pPr>
      <w:r>
        <w:rPr>
          <w:color w:val="231F20"/>
        </w:rPr>
        <w:t>Life House - 20 units - $175,000</w:t>
      </w:r>
    </w:p>
    <w:p w14:paraId="26EF987B" w14:textId="77777777" w:rsidR="00970BBE" w:rsidRDefault="00970BBE" w:rsidP="004E3B43">
      <w:pPr>
        <w:pStyle w:val="BodyText"/>
        <w:spacing w:before="1"/>
        <w:ind w:left="120" w:right="116"/>
        <w:jc w:val="both"/>
        <w:rPr>
          <w:color w:val="231F20"/>
        </w:rPr>
      </w:pPr>
    </w:p>
    <w:p w14:paraId="0A0062C6" w14:textId="77777777" w:rsidR="006A67C9" w:rsidRDefault="006A67C9" w:rsidP="004E3B43">
      <w:pPr>
        <w:pStyle w:val="BodyText"/>
        <w:spacing w:before="1"/>
        <w:ind w:left="120" w:right="116"/>
        <w:jc w:val="both"/>
        <w:rPr>
          <w:color w:val="231F20"/>
        </w:rPr>
      </w:pPr>
    </w:p>
    <w:p w14:paraId="36C5A01F" w14:textId="77777777" w:rsidR="006A67C9" w:rsidRDefault="006A67C9" w:rsidP="004E3B43">
      <w:pPr>
        <w:pStyle w:val="BodyText"/>
        <w:spacing w:before="1"/>
        <w:ind w:left="120" w:right="116"/>
        <w:jc w:val="both"/>
        <w:rPr>
          <w:color w:val="231F20"/>
        </w:rPr>
      </w:pPr>
    </w:p>
    <w:p w14:paraId="52497149" w14:textId="77777777" w:rsidR="004E3B43" w:rsidRDefault="004E3B43">
      <w:pPr>
        <w:pStyle w:val="BodyText"/>
        <w:spacing w:before="1"/>
        <w:ind w:left="120" w:right="116"/>
        <w:jc w:val="both"/>
        <w:rPr>
          <w:color w:val="231F20"/>
        </w:rPr>
      </w:pPr>
    </w:p>
    <w:p w14:paraId="1D8427F9" w14:textId="77777777" w:rsidR="004E3B43" w:rsidRDefault="004E3B43">
      <w:pPr>
        <w:pStyle w:val="BodyText"/>
        <w:spacing w:before="1"/>
        <w:ind w:left="120" w:right="116"/>
        <w:jc w:val="both"/>
        <w:rPr>
          <w:color w:val="231F20"/>
        </w:rPr>
      </w:pPr>
    </w:p>
    <w:p w14:paraId="6F41327C" w14:textId="77777777" w:rsidR="00E2350F" w:rsidRDefault="00E2350F">
      <w:pPr>
        <w:pStyle w:val="BodyText"/>
        <w:spacing w:before="1"/>
        <w:ind w:left="120" w:right="116"/>
        <w:jc w:val="both"/>
        <w:rPr>
          <w:color w:val="231F20"/>
        </w:rPr>
      </w:pPr>
    </w:p>
    <w:p w14:paraId="6B94BC5D" w14:textId="77777777" w:rsidR="00E2350F" w:rsidRDefault="00E2350F">
      <w:pPr>
        <w:pStyle w:val="BodyText"/>
        <w:spacing w:before="1"/>
        <w:ind w:left="120" w:right="116"/>
        <w:jc w:val="both"/>
        <w:rPr>
          <w:color w:val="231F20"/>
        </w:rPr>
      </w:pPr>
    </w:p>
    <w:p w14:paraId="7A4635E7" w14:textId="77777777" w:rsidR="00E2350F" w:rsidRDefault="00E2350F">
      <w:pPr>
        <w:pStyle w:val="BodyText"/>
        <w:spacing w:before="1"/>
        <w:ind w:left="120" w:right="116"/>
        <w:jc w:val="both"/>
        <w:rPr>
          <w:color w:val="231F20"/>
        </w:rPr>
      </w:pPr>
    </w:p>
    <w:p w14:paraId="6DED1BC3" w14:textId="77777777" w:rsidR="00E2350F" w:rsidRDefault="00E2350F">
      <w:pPr>
        <w:pStyle w:val="BodyText"/>
        <w:spacing w:before="1"/>
        <w:ind w:left="120" w:right="116"/>
        <w:jc w:val="both"/>
        <w:rPr>
          <w:color w:val="231F20"/>
        </w:rPr>
      </w:pPr>
    </w:p>
    <w:p w14:paraId="3D84704C" w14:textId="77777777" w:rsidR="00E2350F" w:rsidRDefault="00E2350F">
      <w:pPr>
        <w:pStyle w:val="BodyText"/>
        <w:spacing w:before="1"/>
        <w:ind w:left="120" w:right="116"/>
        <w:jc w:val="both"/>
        <w:rPr>
          <w:color w:val="231F20"/>
        </w:rPr>
      </w:pPr>
    </w:p>
    <w:p w14:paraId="2F304BC1" w14:textId="77777777" w:rsidR="00E2350F" w:rsidRDefault="00E2350F">
      <w:pPr>
        <w:pStyle w:val="BodyText"/>
        <w:spacing w:before="1"/>
        <w:ind w:left="120" w:right="116"/>
        <w:jc w:val="both"/>
      </w:pPr>
    </w:p>
    <w:sectPr w:rsidR="00E2350F">
      <w:pgSz w:w="12240" w:h="15840"/>
      <w:pgMar w:top="640" w:right="60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6135EC"/>
    <w:multiLevelType w:val="hybridMultilevel"/>
    <w:tmpl w:val="D02E24D4"/>
    <w:lvl w:ilvl="0" w:tplc="4F3076B8">
      <w:start w:val="1"/>
      <w:numFmt w:val="decimal"/>
      <w:lvlText w:val="%1."/>
      <w:lvlJc w:val="left"/>
      <w:pPr>
        <w:ind w:left="1200" w:hanging="360"/>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1" w:tplc="1278E5E8">
      <w:start w:val="1"/>
      <w:numFmt w:val="lowerLetter"/>
      <w:lvlText w:val="%2."/>
      <w:lvlJc w:val="left"/>
      <w:pPr>
        <w:ind w:left="1920" w:hanging="360"/>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2" w:tplc="8E525F7E">
      <w:numFmt w:val="bullet"/>
      <w:lvlText w:val=""/>
      <w:lvlJc w:val="left"/>
      <w:pPr>
        <w:ind w:left="2820" w:hanging="360"/>
      </w:pPr>
      <w:rPr>
        <w:rFonts w:ascii="Symbol" w:eastAsia="Symbol" w:hAnsi="Symbol" w:cs="Symbol" w:hint="default"/>
        <w:b w:val="0"/>
        <w:bCs w:val="0"/>
        <w:i w:val="0"/>
        <w:iCs w:val="0"/>
        <w:color w:val="231F20"/>
        <w:spacing w:val="0"/>
        <w:w w:val="100"/>
        <w:sz w:val="22"/>
        <w:szCs w:val="22"/>
        <w:lang w:val="en-US" w:eastAsia="en-US" w:bidi="ar-SA"/>
      </w:rPr>
    </w:lvl>
    <w:lvl w:ilvl="3" w:tplc="F7228AC2">
      <w:numFmt w:val="bullet"/>
      <w:lvlText w:val="•"/>
      <w:lvlJc w:val="left"/>
      <w:pPr>
        <w:ind w:left="3847" w:hanging="360"/>
      </w:pPr>
      <w:rPr>
        <w:rFonts w:hint="default"/>
        <w:lang w:val="en-US" w:eastAsia="en-US" w:bidi="ar-SA"/>
      </w:rPr>
    </w:lvl>
    <w:lvl w:ilvl="4" w:tplc="A7FA9406">
      <w:numFmt w:val="bullet"/>
      <w:lvlText w:val="•"/>
      <w:lvlJc w:val="left"/>
      <w:pPr>
        <w:ind w:left="4875" w:hanging="360"/>
      </w:pPr>
      <w:rPr>
        <w:rFonts w:hint="default"/>
        <w:lang w:val="en-US" w:eastAsia="en-US" w:bidi="ar-SA"/>
      </w:rPr>
    </w:lvl>
    <w:lvl w:ilvl="5" w:tplc="13309C12">
      <w:numFmt w:val="bullet"/>
      <w:lvlText w:val="•"/>
      <w:lvlJc w:val="left"/>
      <w:pPr>
        <w:ind w:left="5902" w:hanging="360"/>
      </w:pPr>
      <w:rPr>
        <w:rFonts w:hint="default"/>
        <w:lang w:val="en-US" w:eastAsia="en-US" w:bidi="ar-SA"/>
      </w:rPr>
    </w:lvl>
    <w:lvl w:ilvl="6" w:tplc="E3E69226">
      <w:numFmt w:val="bullet"/>
      <w:lvlText w:val="•"/>
      <w:lvlJc w:val="left"/>
      <w:pPr>
        <w:ind w:left="6930" w:hanging="360"/>
      </w:pPr>
      <w:rPr>
        <w:rFonts w:hint="default"/>
        <w:lang w:val="en-US" w:eastAsia="en-US" w:bidi="ar-SA"/>
      </w:rPr>
    </w:lvl>
    <w:lvl w:ilvl="7" w:tplc="5F6624C0">
      <w:numFmt w:val="bullet"/>
      <w:lvlText w:val="•"/>
      <w:lvlJc w:val="left"/>
      <w:pPr>
        <w:ind w:left="7957" w:hanging="360"/>
      </w:pPr>
      <w:rPr>
        <w:rFonts w:hint="default"/>
        <w:lang w:val="en-US" w:eastAsia="en-US" w:bidi="ar-SA"/>
      </w:rPr>
    </w:lvl>
    <w:lvl w:ilvl="8" w:tplc="5D5AB82E">
      <w:numFmt w:val="bullet"/>
      <w:lvlText w:val="•"/>
      <w:lvlJc w:val="left"/>
      <w:pPr>
        <w:ind w:left="8985" w:hanging="360"/>
      </w:pPr>
      <w:rPr>
        <w:rFonts w:hint="default"/>
        <w:lang w:val="en-US" w:eastAsia="en-US" w:bidi="ar-SA"/>
      </w:rPr>
    </w:lvl>
  </w:abstractNum>
  <w:abstractNum w:abstractNumId="1" w15:restartNumberingAfterBreak="0">
    <w:nsid w:val="55AB4A68"/>
    <w:multiLevelType w:val="hybridMultilevel"/>
    <w:tmpl w:val="960826A4"/>
    <w:lvl w:ilvl="0" w:tplc="DFD8EE74">
      <w:start w:val="1"/>
      <w:numFmt w:val="decimal"/>
      <w:lvlText w:val="%1."/>
      <w:lvlJc w:val="left"/>
      <w:pPr>
        <w:ind w:left="1199" w:hanging="360"/>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1" w:tplc="65AAABE0">
      <w:start w:val="1"/>
      <w:numFmt w:val="decimal"/>
      <w:lvlText w:val="%2."/>
      <w:lvlJc w:val="left"/>
      <w:pPr>
        <w:ind w:left="1919" w:hanging="360"/>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2" w:tplc="361C1E66">
      <w:numFmt w:val="bullet"/>
      <w:lvlText w:val="•"/>
      <w:lvlJc w:val="left"/>
      <w:pPr>
        <w:ind w:left="2933" w:hanging="360"/>
      </w:pPr>
      <w:rPr>
        <w:rFonts w:hint="default"/>
        <w:lang w:val="en-US" w:eastAsia="en-US" w:bidi="ar-SA"/>
      </w:rPr>
    </w:lvl>
    <w:lvl w:ilvl="3" w:tplc="6EBC93C2">
      <w:numFmt w:val="bullet"/>
      <w:lvlText w:val="•"/>
      <w:lvlJc w:val="left"/>
      <w:pPr>
        <w:ind w:left="3946" w:hanging="360"/>
      </w:pPr>
      <w:rPr>
        <w:rFonts w:hint="default"/>
        <w:lang w:val="en-US" w:eastAsia="en-US" w:bidi="ar-SA"/>
      </w:rPr>
    </w:lvl>
    <w:lvl w:ilvl="4" w:tplc="029A3496">
      <w:numFmt w:val="bullet"/>
      <w:lvlText w:val="•"/>
      <w:lvlJc w:val="left"/>
      <w:pPr>
        <w:ind w:left="4960" w:hanging="360"/>
      </w:pPr>
      <w:rPr>
        <w:rFonts w:hint="default"/>
        <w:lang w:val="en-US" w:eastAsia="en-US" w:bidi="ar-SA"/>
      </w:rPr>
    </w:lvl>
    <w:lvl w:ilvl="5" w:tplc="E0D25E1C">
      <w:numFmt w:val="bullet"/>
      <w:lvlText w:val="•"/>
      <w:lvlJc w:val="left"/>
      <w:pPr>
        <w:ind w:left="5973" w:hanging="360"/>
      </w:pPr>
      <w:rPr>
        <w:rFonts w:hint="default"/>
        <w:lang w:val="en-US" w:eastAsia="en-US" w:bidi="ar-SA"/>
      </w:rPr>
    </w:lvl>
    <w:lvl w:ilvl="6" w:tplc="C436DA68">
      <w:numFmt w:val="bullet"/>
      <w:lvlText w:val="•"/>
      <w:lvlJc w:val="left"/>
      <w:pPr>
        <w:ind w:left="6986" w:hanging="360"/>
      </w:pPr>
      <w:rPr>
        <w:rFonts w:hint="default"/>
        <w:lang w:val="en-US" w:eastAsia="en-US" w:bidi="ar-SA"/>
      </w:rPr>
    </w:lvl>
    <w:lvl w:ilvl="7" w:tplc="8B803466">
      <w:numFmt w:val="bullet"/>
      <w:lvlText w:val="•"/>
      <w:lvlJc w:val="left"/>
      <w:pPr>
        <w:ind w:left="8000" w:hanging="360"/>
      </w:pPr>
      <w:rPr>
        <w:rFonts w:hint="default"/>
        <w:lang w:val="en-US" w:eastAsia="en-US" w:bidi="ar-SA"/>
      </w:rPr>
    </w:lvl>
    <w:lvl w:ilvl="8" w:tplc="AA60CF5C">
      <w:numFmt w:val="bullet"/>
      <w:lvlText w:val="•"/>
      <w:lvlJc w:val="left"/>
      <w:pPr>
        <w:ind w:left="9013" w:hanging="360"/>
      </w:pPr>
      <w:rPr>
        <w:rFonts w:hint="default"/>
        <w:lang w:val="en-US" w:eastAsia="en-US" w:bidi="ar-SA"/>
      </w:rPr>
    </w:lvl>
  </w:abstractNum>
  <w:abstractNum w:abstractNumId="2" w15:restartNumberingAfterBreak="0">
    <w:nsid w:val="76F572B6"/>
    <w:multiLevelType w:val="hybridMultilevel"/>
    <w:tmpl w:val="0A0A7498"/>
    <w:lvl w:ilvl="0" w:tplc="7F28C4F6">
      <w:start w:val="1"/>
      <w:numFmt w:val="decimal"/>
      <w:lvlText w:val="%1."/>
      <w:lvlJc w:val="left"/>
      <w:pPr>
        <w:ind w:left="2280" w:hanging="360"/>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1" w:tplc="C21C1DC4">
      <w:start w:val="1"/>
      <w:numFmt w:val="lowerLetter"/>
      <w:lvlText w:val="%2."/>
      <w:lvlJc w:val="left"/>
      <w:pPr>
        <w:ind w:left="1560" w:hanging="360"/>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2" w:tplc="55ECCD9E">
      <w:numFmt w:val="bullet"/>
      <w:lvlText w:val="•"/>
      <w:lvlJc w:val="left"/>
      <w:pPr>
        <w:ind w:left="3253" w:hanging="360"/>
      </w:pPr>
      <w:rPr>
        <w:rFonts w:hint="default"/>
        <w:lang w:val="en-US" w:eastAsia="en-US" w:bidi="ar-SA"/>
      </w:rPr>
    </w:lvl>
    <w:lvl w:ilvl="3" w:tplc="B32E9136">
      <w:numFmt w:val="bullet"/>
      <w:lvlText w:val="•"/>
      <w:lvlJc w:val="left"/>
      <w:pPr>
        <w:ind w:left="4226" w:hanging="360"/>
      </w:pPr>
      <w:rPr>
        <w:rFonts w:hint="default"/>
        <w:lang w:val="en-US" w:eastAsia="en-US" w:bidi="ar-SA"/>
      </w:rPr>
    </w:lvl>
    <w:lvl w:ilvl="4" w:tplc="3926E8F0">
      <w:numFmt w:val="bullet"/>
      <w:lvlText w:val="•"/>
      <w:lvlJc w:val="left"/>
      <w:pPr>
        <w:ind w:left="5200" w:hanging="360"/>
      </w:pPr>
      <w:rPr>
        <w:rFonts w:hint="default"/>
        <w:lang w:val="en-US" w:eastAsia="en-US" w:bidi="ar-SA"/>
      </w:rPr>
    </w:lvl>
    <w:lvl w:ilvl="5" w:tplc="032041D4">
      <w:numFmt w:val="bullet"/>
      <w:lvlText w:val="•"/>
      <w:lvlJc w:val="left"/>
      <w:pPr>
        <w:ind w:left="6173" w:hanging="360"/>
      </w:pPr>
      <w:rPr>
        <w:rFonts w:hint="default"/>
        <w:lang w:val="en-US" w:eastAsia="en-US" w:bidi="ar-SA"/>
      </w:rPr>
    </w:lvl>
    <w:lvl w:ilvl="6" w:tplc="B468A41C">
      <w:numFmt w:val="bullet"/>
      <w:lvlText w:val="•"/>
      <w:lvlJc w:val="left"/>
      <w:pPr>
        <w:ind w:left="7146" w:hanging="360"/>
      </w:pPr>
      <w:rPr>
        <w:rFonts w:hint="default"/>
        <w:lang w:val="en-US" w:eastAsia="en-US" w:bidi="ar-SA"/>
      </w:rPr>
    </w:lvl>
    <w:lvl w:ilvl="7" w:tplc="3CA6100E">
      <w:numFmt w:val="bullet"/>
      <w:lvlText w:val="•"/>
      <w:lvlJc w:val="left"/>
      <w:pPr>
        <w:ind w:left="8120" w:hanging="360"/>
      </w:pPr>
      <w:rPr>
        <w:rFonts w:hint="default"/>
        <w:lang w:val="en-US" w:eastAsia="en-US" w:bidi="ar-SA"/>
      </w:rPr>
    </w:lvl>
    <w:lvl w:ilvl="8" w:tplc="3318AFE8">
      <w:numFmt w:val="bullet"/>
      <w:lvlText w:val="•"/>
      <w:lvlJc w:val="left"/>
      <w:pPr>
        <w:ind w:left="9093" w:hanging="360"/>
      </w:pPr>
      <w:rPr>
        <w:rFonts w:hint="default"/>
        <w:lang w:val="en-US" w:eastAsia="en-US" w:bidi="ar-SA"/>
      </w:rPr>
    </w:lvl>
  </w:abstractNum>
  <w:num w:numId="1" w16cid:durableId="2099861372">
    <w:abstractNumId w:val="0"/>
  </w:num>
  <w:num w:numId="2" w16cid:durableId="390084742">
    <w:abstractNumId w:val="2"/>
  </w:num>
  <w:num w:numId="3" w16cid:durableId="1704593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CE5677"/>
    <w:rsid w:val="00231172"/>
    <w:rsid w:val="002540EC"/>
    <w:rsid w:val="00257CD2"/>
    <w:rsid w:val="002D6CF0"/>
    <w:rsid w:val="003911C1"/>
    <w:rsid w:val="004E3B43"/>
    <w:rsid w:val="006A67C9"/>
    <w:rsid w:val="006F3F93"/>
    <w:rsid w:val="00717AF5"/>
    <w:rsid w:val="007D591E"/>
    <w:rsid w:val="00842B3E"/>
    <w:rsid w:val="00922AAD"/>
    <w:rsid w:val="00970BBE"/>
    <w:rsid w:val="009C60DB"/>
    <w:rsid w:val="00BF7A8F"/>
    <w:rsid w:val="00C4436B"/>
    <w:rsid w:val="00CE5677"/>
    <w:rsid w:val="00E071E4"/>
    <w:rsid w:val="00E2350F"/>
    <w:rsid w:val="00F06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68481"/>
  <w15:docId w15:val="{72565817-8C20-4807-B206-52827BD3E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119"/>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9" w:hanging="359"/>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6F3F93"/>
    <w:rPr>
      <w:color w:val="0000FF" w:themeColor="hyperlink"/>
      <w:u w:val="single"/>
    </w:rPr>
  </w:style>
  <w:style w:type="character" w:styleId="UnresolvedMention">
    <w:name w:val="Unresolved Mention"/>
    <w:basedOn w:val="DefaultParagraphFont"/>
    <w:uiPriority w:val="99"/>
    <w:semiHidden/>
    <w:unhideWhenUsed/>
    <w:rsid w:val="006F3F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harrisp@ghanc.n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4</Pages>
  <Words>1587</Words>
  <Characters>9051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2019-04 RFP- Audit Services.pdf</vt:lpstr>
    </vt:vector>
  </TitlesOfParts>
  <Company/>
  <LinksUpToDate>false</LinksUpToDate>
  <CharactersWithSpaces>10617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2019-04 RFP- Audit Services.pdf</dc:title>
  <dc:creator>zinah</dc:creator>
  <cp:lastModifiedBy>Joseph Regan III</cp:lastModifiedBy>
  <cp:revision>12</cp:revision>
  <dcterms:created xsi:type="dcterms:W3CDTF">2025-08-18T17:55:00Z</dcterms:created>
  <dcterms:modified xsi:type="dcterms:W3CDTF">2025-08-19T20:42:00Z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2021-06-22T00:00:00Z</vt:filetime>
  </property>
  <property fmtid="{D5CDD505-2E9C-101B-9397-08002B2CF9AE}" pid="3" name="Creator">
    <vt:lpwstr>Bullzip PDF Printer (11.13.0.2823)</vt:lpwstr>
  </property>
  <property fmtid="{D5CDD505-2E9C-101B-9397-08002B2CF9AE}" pid="4" name="LastSaved">
    <vt:filetime>2025-08-18T00:00:00Z</vt:filetime>
  </property>
  <property fmtid="{D5CDD505-2E9C-101B-9397-08002B2CF9AE}" pid="5" name="Producer">
    <vt:lpwstr>PDF Printer / www.bullzip.com / FG / Freeware Edition (max 10 users)</vt:lpwstr>
  </property>
</Properties>
</file>